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4C" w:rsidRPr="009C2C4C" w:rsidRDefault="009C2C4C" w:rsidP="009C2C4C">
      <w:pPr>
        <w:shd w:val="clear" w:color="auto" w:fill="FFFFFF"/>
        <w:spacing w:after="0" w:line="240" w:lineRule="auto"/>
        <w:jc w:val="center"/>
        <w:rPr>
          <w:rFonts w:ascii="Arial" w:eastAsia="Times New Roman" w:hAnsi="Arial" w:cs="Arial"/>
          <w:color w:val="666666"/>
          <w:sz w:val="24"/>
          <w:szCs w:val="15"/>
        </w:rPr>
      </w:pPr>
      <w:r w:rsidRPr="009C2C4C">
        <w:rPr>
          <w:rFonts w:ascii="Arial" w:eastAsia="Times New Roman" w:hAnsi="Arial" w:cs="Arial"/>
          <w:b/>
          <w:bCs/>
          <w:color w:val="666666"/>
          <w:sz w:val="24"/>
          <w:szCs w:val="15"/>
        </w:rPr>
        <w:t>No.10/02/2011.E.III/A</w:t>
      </w:r>
    </w:p>
    <w:p w:rsidR="009C2C4C" w:rsidRPr="009C2C4C" w:rsidRDefault="009C2C4C" w:rsidP="009C2C4C">
      <w:pPr>
        <w:shd w:val="clear" w:color="auto" w:fill="FFFFFF"/>
        <w:spacing w:after="0" w:line="240" w:lineRule="auto"/>
        <w:jc w:val="center"/>
        <w:rPr>
          <w:rFonts w:ascii="Arial" w:eastAsia="Times New Roman" w:hAnsi="Arial" w:cs="Arial"/>
          <w:color w:val="666666"/>
          <w:sz w:val="24"/>
          <w:szCs w:val="15"/>
        </w:rPr>
      </w:pPr>
      <w:r w:rsidRPr="009C2C4C">
        <w:rPr>
          <w:rFonts w:ascii="Arial" w:eastAsia="Times New Roman" w:hAnsi="Arial" w:cs="Arial"/>
          <w:b/>
          <w:bCs/>
          <w:color w:val="666666"/>
          <w:sz w:val="24"/>
          <w:szCs w:val="15"/>
        </w:rPr>
        <w:t>Government of India</w:t>
      </w:r>
    </w:p>
    <w:p w:rsidR="009C2C4C" w:rsidRPr="009C2C4C" w:rsidRDefault="009C2C4C" w:rsidP="009C2C4C">
      <w:pPr>
        <w:shd w:val="clear" w:color="auto" w:fill="FFFFFF"/>
        <w:spacing w:after="0" w:line="240" w:lineRule="auto"/>
        <w:jc w:val="center"/>
        <w:rPr>
          <w:rFonts w:ascii="Arial" w:eastAsia="Times New Roman" w:hAnsi="Arial" w:cs="Arial"/>
          <w:color w:val="666666"/>
          <w:sz w:val="24"/>
          <w:szCs w:val="15"/>
        </w:rPr>
      </w:pPr>
      <w:r w:rsidRPr="009C2C4C">
        <w:rPr>
          <w:rFonts w:ascii="Arial" w:eastAsia="Times New Roman" w:hAnsi="Arial" w:cs="Arial"/>
          <w:b/>
          <w:bCs/>
          <w:color w:val="666666"/>
          <w:sz w:val="24"/>
          <w:szCs w:val="15"/>
        </w:rPr>
        <w:t>Ministry of Finance</w:t>
      </w:r>
    </w:p>
    <w:p w:rsidR="009C2C4C" w:rsidRPr="009C2C4C" w:rsidRDefault="009C2C4C" w:rsidP="009C2C4C">
      <w:pPr>
        <w:shd w:val="clear" w:color="auto" w:fill="FFFFFF"/>
        <w:spacing w:after="0" w:line="240" w:lineRule="auto"/>
        <w:jc w:val="center"/>
        <w:rPr>
          <w:rFonts w:ascii="Arial" w:eastAsia="Times New Roman" w:hAnsi="Arial" w:cs="Arial"/>
          <w:color w:val="666666"/>
          <w:sz w:val="24"/>
          <w:szCs w:val="15"/>
        </w:rPr>
      </w:pPr>
      <w:r w:rsidRPr="009C2C4C">
        <w:rPr>
          <w:rFonts w:ascii="Arial" w:eastAsia="Times New Roman" w:hAnsi="Arial" w:cs="Arial"/>
          <w:b/>
          <w:bCs/>
          <w:color w:val="666666"/>
          <w:sz w:val="24"/>
          <w:szCs w:val="15"/>
        </w:rPr>
        <w:t>Department of Expenditure</w:t>
      </w:r>
    </w:p>
    <w:p w:rsidR="009C2C4C" w:rsidRPr="009C2C4C" w:rsidRDefault="009C2C4C" w:rsidP="009C2C4C">
      <w:pPr>
        <w:shd w:val="clear" w:color="auto" w:fill="FFFFFF"/>
        <w:spacing w:before="100" w:beforeAutospacing="1" w:after="100" w:line="250" w:lineRule="atLeast"/>
        <w:jc w:val="right"/>
        <w:rPr>
          <w:rFonts w:ascii="Arial" w:eastAsia="Times New Roman" w:hAnsi="Arial" w:cs="Arial"/>
          <w:color w:val="666666"/>
          <w:sz w:val="24"/>
          <w:szCs w:val="15"/>
        </w:rPr>
      </w:pPr>
      <w:r w:rsidRPr="009C2C4C">
        <w:rPr>
          <w:rFonts w:ascii="Arial" w:eastAsia="Times New Roman" w:hAnsi="Arial" w:cs="Arial"/>
          <w:color w:val="666666"/>
          <w:sz w:val="24"/>
          <w:szCs w:val="15"/>
        </w:rPr>
        <w:t>New Delhi, the 7th January, 2013</w:t>
      </w:r>
    </w:p>
    <w:p w:rsidR="009C2C4C" w:rsidRPr="009C2C4C" w:rsidRDefault="009C2C4C" w:rsidP="009C2C4C">
      <w:pPr>
        <w:shd w:val="clear" w:color="auto" w:fill="FFFFFF"/>
        <w:spacing w:before="100" w:beforeAutospacing="1" w:after="100" w:line="250" w:lineRule="atLeast"/>
        <w:jc w:val="center"/>
        <w:rPr>
          <w:rFonts w:ascii="Arial" w:eastAsia="Times New Roman" w:hAnsi="Arial" w:cs="Arial"/>
          <w:color w:val="666666"/>
          <w:sz w:val="24"/>
          <w:szCs w:val="15"/>
        </w:rPr>
      </w:pPr>
      <w:r w:rsidRPr="009C2C4C">
        <w:rPr>
          <w:rFonts w:ascii="Arial" w:eastAsia="Times New Roman" w:hAnsi="Arial" w:cs="Arial"/>
          <w:b/>
          <w:bCs/>
          <w:color w:val="666666"/>
          <w:sz w:val="24"/>
          <w:szCs w:val="15"/>
        </w:rPr>
        <w:t>OFFICE MEMORANDUM</w:t>
      </w:r>
    </w:p>
    <w:p w:rsidR="009C2C4C" w:rsidRDefault="009C2C4C" w:rsidP="009C2C4C">
      <w:pPr>
        <w:shd w:val="clear" w:color="auto" w:fill="FFFFFF"/>
        <w:spacing w:after="0" w:line="240" w:lineRule="auto"/>
        <w:rPr>
          <w:rFonts w:ascii="Arial" w:eastAsia="Times New Roman" w:hAnsi="Arial" w:cs="Arial"/>
          <w:b/>
          <w:bCs/>
          <w:color w:val="666666"/>
          <w:sz w:val="24"/>
          <w:szCs w:val="15"/>
        </w:rPr>
      </w:pPr>
      <w:r w:rsidRPr="009C2C4C">
        <w:rPr>
          <w:rFonts w:ascii="Arial" w:eastAsia="Times New Roman" w:hAnsi="Arial" w:cs="Arial"/>
          <w:color w:val="666666"/>
          <w:sz w:val="24"/>
          <w:szCs w:val="15"/>
        </w:rPr>
        <w:t>Subject</w:t>
      </w:r>
      <w:proofErr w:type="gramStart"/>
      <w:r w:rsidRPr="009C2C4C">
        <w:rPr>
          <w:rFonts w:ascii="Arial" w:eastAsia="Times New Roman" w:hAnsi="Arial" w:cs="Arial"/>
          <w:color w:val="666666"/>
          <w:sz w:val="24"/>
          <w:szCs w:val="15"/>
        </w:rPr>
        <w:t>:-</w:t>
      </w:r>
      <w:proofErr w:type="gramEnd"/>
      <w:r w:rsidRPr="009C2C4C">
        <w:rPr>
          <w:rFonts w:ascii="Arial" w:eastAsia="Times New Roman" w:hAnsi="Arial" w:cs="Arial"/>
          <w:b/>
          <w:bCs/>
          <w:color w:val="666666"/>
          <w:sz w:val="24"/>
          <w:szCs w:val="15"/>
        </w:rPr>
        <w:t xml:space="preserve"> Fixation of pay on promotion to a post carrying higher duties and </w:t>
      </w:r>
    </w:p>
    <w:p w:rsidR="009C2C4C" w:rsidRPr="009C2C4C" w:rsidRDefault="009C2C4C" w:rsidP="009C2C4C">
      <w:pPr>
        <w:shd w:val="clear" w:color="auto" w:fill="FFFFFF"/>
        <w:spacing w:after="0" w:line="240" w:lineRule="auto"/>
        <w:rPr>
          <w:rFonts w:ascii="Arial" w:eastAsia="Times New Roman" w:hAnsi="Arial" w:cs="Arial"/>
          <w:color w:val="666666"/>
          <w:sz w:val="24"/>
          <w:szCs w:val="15"/>
        </w:rPr>
      </w:pPr>
      <w:r>
        <w:rPr>
          <w:rFonts w:ascii="Arial" w:eastAsia="Times New Roman" w:hAnsi="Arial" w:cs="Arial"/>
          <w:b/>
          <w:bCs/>
          <w:color w:val="666666"/>
          <w:sz w:val="24"/>
          <w:szCs w:val="15"/>
        </w:rPr>
        <w:t xml:space="preserve">               </w:t>
      </w:r>
      <w:proofErr w:type="gramStart"/>
      <w:r w:rsidRPr="009C2C4C">
        <w:rPr>
          <w:rFonts w:ascii="Arial" w:eastAsia="Times New Roman" w:hAnsi="Arial" w:cs="Arial"/>
          <w:b/>
          <w:bCs/>
          <w:color w:val="666666"/>
          <w:sz w:val="24"/>
          <w:szCs w:val="15"/>
        </w:rPr>
        <w:t>responsibilities</w:t>
      </w:r>
      <w:proofErr w:type="gramEnd"/>
      <w:r w:rsidRPr="009C2C4C">
        <w:rPr>
          <w:rFonts w:ascii="Arial" w:eastAsia="Times New Roman" w:hAnsi="Arial" w:cs="Arial"/>
          <w:b/>
          <w:bCs/>
          <w:color w:val="666666"/>
          <w:sz w:val="24"/>
          <w:szCs w:val="15"/>
        </w:rPr>
        <w:t xml:space="preserve"> but carrying the same grade pay.</w:t>
      </w:r>
    </w:p>
    <w:p w:rsidR="009C2C4C" w:rsidRPr="009C2C4C" w:rsidRDefault="009C2C4C" w:rsidP="009C2C4C">
      <w:pPr>
        <w:shd w:val="clear" w:color="auto" w:fill="FFFFFF"/>
        <w:spacing w:before="100" w:beforeAutospacing="1" w:after="100" w:line="250" w:lineRule="atLeast"/>
        <w:jc w:val="both"/>
        <w:rPr>
          <w:rFonts w:ascii="Arial" w:eastAsia="Times New Roman" w:hAnsi="Arial" w:cs="Arial"/>
          <w:color w:val="666666"/>
          <w:sz w:val="24"/>
          <w:szCs w:val="15"/>
        </w:rPr>
      </w:pPr>
      <w:r>
        <w:rPr>
          <w:rFonts w:ascii="Arial" w:eastAsia="Times New Roman" w:hAnsi="Arial" w:cs="Arial"/>
          <w:color w:val="666666"/>
          <w:sz w:val="24"/>
          <w:szCs w:val="15"/>
        </w:rPr>
        <w:t xml:space="preserve">              </w:t>
      </w:r>
      <w:r w:rsidRPr="009C2C4C">
        <w:rPr>
          <w:rFonts w:ascii="Arial" w:eastAsia="Times New Roman" w:hAnsi="Arial" w:cs="Arial"/>
          <w:color w:val="666666"/>
          <w:sz w:val="24"/>
          <w:szCs w:val="15"/>
        </w:rPr>
        <w:t xml:space="preserve">The undersigned is directed to invite an attention to the provisions contained in Rule 13 of the </w:t>
      </w:r>
      <w:proofErr w:type="gramStart"/>
      <w:r w:rsidRPr="009C2C4C">
        <w:rPr>
          <w:rFonts w:ascii="Arial" w:eastAsia="Times New Roman" w:hAnsi="Arial" w:cs="Arial"/>
          <w:color w:val="666666"/>
          <w:sz w:val="24"/>
          <w:szCs w:val="15"/>
        </w:rPr>
        <w:t>CCS(</w:t>
      </w:r>
      <w:proofErr w:type="gramEnd"/>
      <w:r w:rsidRPr="009C2C4C">
        <w:rPr>
          <w:rFonts w:ascii="Arial" w:eastAsia="Times New Roman" w:hAnsi="Arial" w:cs="Arial"/>
          <w:color w:val="666666"/>
          <w:sz w:val="24"/>
          <w:szCs w:val="15"/>
        </w:rPr>
        <w:t xml:space="preserve">RP) Rules, 2008, which provides for the method of fixation of pay on promotion on or after 1.1.2006 in case. </w:t>
      </w:r>
      <w:proofErr w:type="gramStart"/>
      <w:r w:rsidRPr="009C2C4C">
        <w:rPr>
          <w:rFonts w:ascii="Arial" w:eastAsia="Times New Roman" w:hAnsi="Arial" w:cs="Arial"/>
          <w:color w:val="666666"/>
          <w:sz w:val="24"/>
          <w:szCs w:val="15"/>
        </w:rPr>
        <w:t>inter-alia</w:t>
      </w:r>
      <w:proofErr w:type="gramEnd"/>
      <w:r w:rsidRPr="009C2C4C">
        <w:rPr>
          <w:rFonts w:ascii="Arial" w:eastAsia="Times New Roman" w:hAnsi="Arial" w:cs="Arial"/>
          <w:color w:val="666666"/>
          <w:sz w:val="24"/>
          <w:szCs w:val="15"/>
        </w:rPr>
        <w:t>, of promotion from one grade pay to another. The Rule provides for fixation of pay by way of addition of one increment equal to 3% of the sum of the pay in the pay band and the existing grade pay (rounded off to the next multiple of 10</w:t>
      </w:r>
      <w:proofErr w:type="gramStart"/>
      <w:r w:rsidRPr="009C2C4C">
        <w:rPr>
          <w:rFonts w:ascii="Arial" w:eastAsia="Times New Roman" w:hAnsi="Arial" w:cs="Arial"/>
          <w:color w:val="666666"/>
          <w:sz w:val="24"/>
          <w:szCs w:val="15"/>
        </w:rPr>
        <w:t>)to</w:t>
      </w:r>
      <w:proofErr w:type="gramEnd"/>
      <w:r w:rsidRPr="009C2C4C">
        <w:rPr>
          <w:rFonts w:ascii="Arial" w:eastAsia="Times New Roman" w:hAnsi="Arial" w:cs="Arial"/>
          <w:color w:val="666666"/>
          <w:sz w:val="24"/>
          <w:szCs w:val="15"/>
        </w:rPr>
        <w:t xml:space="preserve"> the existing pay in the pay band and then fixing the pay in the promotional post as per the procedure prescribed therein.</w:t>
      </w:r>
    </w:p>
    <w:p w:rsidR="009C2C4C" w:rsidRPr="009C2C4C" w:rsidRDefault="009C2C4C" w:rsidP="009C2C4C">
      <w:pPr>
        <w:shd w:val="clear" w:color="auto" w:fill="FFFFFF"/>
        <w:spacing w:before="100" w:beforeAutospacing="1" w:after="100" w:line="250" w:lineRule="atLeast"/>
        <w:jc w:val="both"/>
        <w:rPr>
          <w:rFonts w:ascii="Arial" w:eastAsia="Times New Roman" w:hAnsi="Arial" w:cs="Arial"/>
          <w:color w:val="666666"/>
          <w:sz w:val="24"/>
          <w:szCs w:val="15"/>
        </w:rPr>
      </w:pPr>
      <w:r w:rsidRPr="009C2C4C">
        <w:rPr>
          <w:rFonts w:ascii="Arial" w:eastAsia="Times New Roman" w:hAnsi="Arial" w:cs="Arial"/>
          <w:color w:val="666666"/>
          <w:sz w:val="24"/>
          <w:szCs w:val="15"/>
        </w:rPr>
        <w:t>2. In terms of this Ministry’s OM No. 169/2/2000-IC dated 24.11.2000, dealing with the situation whereby both the feeder and the promotional grades were placed in the identical revised pay scales based on the recommendations of the 5th Central Pay Commission, it was provided, inter-alia, that only in cases where it was not found feasible to appropriately restructure cadres in question on functional, operational and administrative considerations, extension of the benefit of fixation of pay under FR 22(I)(a)(1) could be considered on the merits of each case, provided all the conditions precedent for the grant of this benefit were fully satisfied and promotion to the post in question actually involved assumption of higher responsibilities.</w:t>
      </w:r>
    </w:p>
    <w:p w:rsidR="009C2C4C" w:rsidRPr="009C2C4C" w:rsidRDefault="009C2C4C" w:rsidP="009C2C4C">
      <w:pPr>
        <w:shd w:val="clear" w:color="auto" w:fill="FFFFFF"/>
        <w:spacing w:before="100" w:beforeAutospacing="1" w:after="100" w:line="250" w:lineRule="atLeast"/>
        <w:jc w:val="both"/>
        <w:rPr>
          <w:rFonts w:ascii="Arial" w:eastAsia="Times New Roman" w:hAnsi="Arial" w:cs="Arial"/>
          <w:color w:val="666666"/>
          <w:sz w:val="24"/>
          <w:szCs w:val="15"/>
        </w:rPr>
      </w:pPr>
      <w:r w:rsidRPr="009C2C4C">
        <w:rPr>
          <w:rFonts w:ascii="Arial" w:eastAsia="Times New Roman" w:hAnsi="Arial" w:cs="Arial"/>
          <w:color w:val="666666"/>
          <w:sz w:val="24"/>
          <w:szCs w:val="15"/>
        </w:rPr>
        <w:t>3. In view of the provisions which existed prior to 1.12006., the matter has been considered and the President is pleased to decide that in cases of promotion from one post to another where the promotional post carries the same Grade Pay as the feeder post, the fixation of pay in such cases will be done in the manner as prescribed in Rule 13(</w:t>
      </w:r>
      <w:proofErr w:type="spellStart"/>
      <w:r w:rsidRPr="009C2C4C">
        <w:rPr>
          <w:rFonts w:ascii="Arial" w:eastAsia="Times New Roman" w:hAnsi="Arial" w:cs="Arial"/>
          <w:color w:val="666666"/>
          <w:sz w:val="24"/>
          <w:szCs w:val="15"/>
        </w:rPr>
        <w:t>i</w:t>
      </w:r>
      <w:proofErr w:type="spellEnd"/>
      <w:r w:rsidRPr="009C2C4C">
        <w:rPr>
          <w:rFonts w:ascii="Arial" w:eastAsia="Times New Roman" w:hAnsi="Arial" w:cs="Arial"/>
          <w:color w:val="666666"/>
          <w:sz w:val="24"/>
          <w:szCs w:val="15"/>
        </w:rPr>
        <w:t>) of the CCS(RP) Rules, 2008, provided fixation of pay in such cases was done prior to 1.1.2006 in terms of this Ministry’s aforesaid OM No.169/2/2000-IC dated 24 11.2000.</w:t>
      </w:r>
    </w:p>
    <w:p w:rsidR="009C2C4C" w:rsidRPr="009C2C4C" w:rsidRDefault="009C2C4C" w:rsidP="009C2C4C">
      <w:pPr>
        <w:shd w:val="clear" w:color="auto" w:fill="FFFFFF"/>
        <w:spacing w:before="100" w:beforeAutospacing="1" w:after="100" w:line="250" w:lineRule="atLeast"/>
        <w:jc w:val="both"/>
        <w:rPr>
          <w:rFonts w:ascii="Arial" w:eastAsia="Times New Roman" w:hAnsi="Arial" w:cs="Arial"/>
          <w:color w:val="666666"/>
          <w:sz w:val="24"/>
          <w:szCs w:val="15"/>
        </w:rPr>
      </w:pPr>
      <w:r w:rsidRPr="009C2C4C">
        <w:rPr>
          <w:rFonts w:ascii="Arial" w:eastAsia="Times New Roman" w:hAnsi="Arial" w:cs="Arial"/>
          <w:color w:val="666666"/>
          <w:sz w:val="24"/>
          <w:szCs w:val="15"/>
        </w:rPr>
        <w:t>4. In so far as the persons serving the Indian Audit and Account Department are concerned, these orders are issued in consultation with the Comptroller &amp; Auditor General of India.</w:t>
      </w:r>
    </w:p>
    <w:p w:rsidR="009C2C4C" w:rsidRPr="009C2C4C" w:rsidRDefault="009C2C4C" w:rsidP="009C2C4C">
      <w:pPr>
        <w:shd w:val="clear" w:color="auto" w:fill="FFFFFF"/>
        <w:spacing w:before="100" w:beforeAutospacing="1" w:after="100" w:line="250" w:lineRule="atLeast"/>
        <w:rPr>
          <w:rFonts w:ascii="Arial" w:eastAsia="Times New Roman" w:hAnsi="Arial" w:cs="Arial"/>
          <w:color w:val="666666"/>
          <w:sz w:val="24"/>
          <w:szCs w:val="15"/>
        </w:rPr>
      </w:pPr>
      <w:r w:rsidRPr="009C2C4C">
        <w:rPr>
          <w:rFonts w:ascii="Arial" w:eastAsia="Times New Roman" w:hAnsi="Arial" w:cs="Arial"/>
          <w:color w:val="666666"/>
          <w:sz w:val="24"/>
          <w:szCs w:val="15"/>
        </w:rPr>
        <w:t>5. The Hindi version of this OM will follow.</w:t>
      </w:r>
    </w:p>
    <w:p w:rsidR="009C2C4C" w:rsidRPr="009C2C4C" w:rsidRDefault="009C2C4C" w:rsidP="009C2C4C">
      <w:pPr>
        <w:shd w:val="clear" w:color="auto" w:fill="FFFFFF"/>
        <w:spacing w:after="0" w:line="240" w:lineRule="auto"/>
        <w:jc w:val="right"/>
        <w:rPr>
          <w:rFonts w:ascii="Arial" w:eastAsia="Times New Roman" w:hAnsi="Arial" w:cs="Arial"/>
          <w:color w:val="666666"/>
          <w:sz w:val="24"/>
          <w:szCs w:val="15"/>
        </w:rPr>
      </w:pPr>
      <w:proofErr w:type="spellStart"/>
      <w:proofErr w:type="gramStart"/>
      <w:r w:rsidRPr="009C2C4C">
        <w:rPr>
          <w:rFonts w:ascii="Arial" w:eastAsia="Times New Roman" w:hAnsi="Arial" w:cs="Arial"/>
          <w:color w:val="666666"/>
          <w:sz w:val="24"/>
          <w:szCs w:val="15"/>
        </w:rPr>
        <w:t>sd</w:t>
      </w:r>
      <w:proofErr w:type="spellEnd"/>
      <w:proofErr w:type="gramEnd"/>
      <w:r w:rsidRPr="009C2C4C">
        <w:rPr>
          <w:rFonts w:ascii="Arial" w:eastAsia="Times New Roman" w:hAnsi="Arial" w:cs="Arial"/>
          <w:color w:val="666666"/>
          <w:sz w:val="24"/>
          <w:szCs w:val="15"/>
        </w:rPr>
        <w:t>/-</w:t>
      </w:r>
    </w:p>
    <w:p w:rsidR="009C2C4C" w:rsidRPr="009C2C4C" w:rsidRDefault="009C2C4C" w:rsidP="009C2C4C">
      <w:pPr>
        <w:shd w:val="clear" w:color="auto" w:fill="FFFFFF"/>
        <w:spacing w:after="0" w:line="240" w:lineRule="auto"/>
        <w:jc w:val="right"/>
        <w:rPr>
          <w:rFonts w:ascii="Arial" w:eastAsia="Times New Roman" w:hAnsi="Arial" w:cs="Arial"/>
          <w:color w:val="666666"/>
          <w:sz w:val="24"/>
          <w:szCs w:val="15"/>
        </w:rPr>
      </w:pPr>
      <w:r w:rsidRPr="009C2C4C">
        <w:rPr>
          <w:rFonts w:ascii="Arial" w:eastAsia="Times New Roman" w:hAnsi="Arial" w:cs="Arial"/>
          <w:color w:val="666666"/>
          <w:sz w:val="24"/>
          <w:szCs w:val="15"/>
        </w:rPr>
        <w:t>(</w:t>
      </w:r>
      <w:proofErr w:type="spellStart"/>
      <w:r w:rsidRPr="009C2C4C">
        <w:rPr>
          <w:rFonts w:ascii="Arial" w:eastAsia="Times New Roman" w:hAnsi="Arial" w:cs="Arial"/>
          <w:color w:val="666666"/>
          <w:sz w:val="24"/>
          <w:szCs w:val="15"/>
        </w:rPr>
        <w:t>Amar</w:t>
      </w:r>
      <w:proofErr w:type="spellEnd"/>
      <w:r w:rsidRPr="009C2C4C">
        <w:rPr>
          <w:rFonts w:ascii="Arial" w:eastAsia="Times New Roman" w:hAnsi="Arial" w:cs="Arial"/>
          <w:color w:val="666666"/>
          <w:sz w:val="24"/>
          <w:szCs w:val="15"/>
        </w:rPr>
        <w:t xml:space="preserve"> </w:t>
      </w:r>
      <w:proofErr w:type="spellStart"/>
      <w:r w:rsidRPr="009C2C4C">
        <w:rPr>
          <w:rFonts w:ascii="Arial" w:eastAsia="Times New Roman" w:hAnsi="Arial" w:cs="Arial"/>
          <w:color w:val="666666"/>
          <w:sz w:val="24"/>
          <w:szCs w:val="15"/>
        </w:rPr>
        <w:t>Nath</w:t>
      </w:r>
      <w:proofErr w:type="spellEnd"/>
      <w:r w:rsidRPr="009C2C4C">
        <w:rPr>
          <w:rFonts w:ascii="Arial" w:eastAsia="Times New Roman" w:hAnsi="Arial" w:cs="Arial"/>
          <w:color w:val="666666"/>
          <w:sz w:val="24"/>
          <w:szCs w:val="15"/>
        </w:rPr>
        <w:t xml:space="preserve"> Singh)</w:t>
      </w:r>
    </w:p>
    <w:p w:rsidR="009C2C4C" w:rsidRPr="009C2C4C" w:rsidRDefault="009C2C4C" w:rsidP="009C2C4C">
      <w:pPr>
        <w:shd w:val="clear" w:color="auto" w:fill="FFFFFF"/>
        <w:spacing w:after="0" w:line="240" w:lineRule="auto"/>
        <w:jc w:val="right"/>
        <w:rPr>
          <w:rFonts w:ascii="Arial" w:eastAsia="Times New Roman" w:hAnsi="Arial" w:cs="Arial"/>
          <w:color w:val="666666"/>
          <w:sz w:val="24"/>
          <w:szCs w:val="15"/>
        </w:rPr>
      </w:pPr>
      <w:r w:rsidRPr="009C2C4C">
        <w:rPr>
          <w:rFonts w:ascii="Arial" w:eastAsia="Times New Roman" w:hAnsi="Arial" w:cs="Arial"/>
          <w:color w:val="666666"/>
          <w:sz w:val="24"/>
          <w:szCs w:val="15"/>
        </w:rPr>
        <w:t>Deputy Secretary to the Government of India</w:t>
      </w:r>
    </w:p>
    <w:p w:rsidR="009C2C4C" w:rsidRPr="009C2C4C" w:rsidRDefault="009C2C4C" w:rsidP="009C2C4C">
      <w:pPr>
        <w:shd w:val="clear" w:color="auto" w:fill="FFFFFF"/>
        <w:spacing w:before="100" w:beforeAutospacing="1" w:after="100" w:line="250" w:lineRule="atLeast"/>
        <w:rPr>
          <w:rFonts w:ascii="Arial" w:eastAsia="Times New Roman" w:hAnsi="Arial" w:cs="Arial"/>
          <w:color w:val="666666"/>
          <w:sz w:val="24"/>
          <w:szCs w:val="15"/>
        </w:rPr>
      </w:pPr>
      <w:r w:rsidRPr="009C2C4C">
        <w:rPr>
          <w:rFonts w:ascii="Arial" w:eastAsia="Times New Roman" w:hAnsi="Arial" w:cs="Arial"/>
          <w:color w:val="666666"/>
          <w:sz w:val="24"/>
          <w:szCs w:val="15"/>
        </w:rPr>
        <w:t> Source: www.finmin.nic.in</w:t>
      </w:r>
    </w:p>
    <w:p w:rsidR="00A37FC4" w:rsidRPr="009C2C4C" w:rsidRDefault="009C2C4C">
      <w:pPr>
        <w:rPr>
          <w:sz w:val="40"/>
        </w:rPr>
      </w:pPr>
    </w:p>
    <w:sectPr w:rsidR="00A37FC4" w:rsidRPr="009C2C4C" w:rsidSect="009C2C4C">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C2C4C"/>
    <w:rsid w:val="001064B2"/>
    <w:rsid w:val="009474C1"/>
    <w:rsid w:val="009C2C4C"/>
    <w:rsid w:val="00CC4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6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241662">
          <w:marLeft w:val="0"/>
          <w:marRight w:val="0"/>
          <w:marTop w:val="200"/>
          <w:marBottom w:val="0"/>
          <w:divBdr>
            <w:top w:val="single" w:sz="4" w:space="0" w:color="C5D1D9"/>
            <w:left w:val="single" w:sz="4" w:space="0" w:color="C5D1D9"/>
            <w:bottom w:val="single" w:sz="4" w:space="0" w:color="C5D1D9"/>
            <w:right w:val="single" w:sz="4" w:space="0" w:color="C5D1D9"/>
          </w:divBdr>
          <w:divsChild>
            <w:div w:id="6371701">
              <w:marLeft w:val="0"/>
              <w:marRight w:val="0"/>
              <w:marTop w:val="0"/>
              <w:marBottom w:val="0"/>
              <w:divBdr>
                <w:top w:val="single" w:sz="4" w:space="0" w:color="C5D1D9"/>
                <w:left w:val="none" w:sz="0" w:space="0" w:color="auto"/>
                <w:bottom w:val="none" w:sz="0" w:space="0" w:color="auto"/>
                <w:right w:val="none" w:sz="0" w:space="0" w:color="auto"/>
              </w:divBdr>
              <w:divsChild>
                <w:div w:id="1700856792">
                  <w:marLeft w:val="0"/>
                  <w:marRight w:val="0"/>
                  <w:marTop w:val="0"/>
                  <w:marBottom w:val="0"/>
                  <w:divBdr>
                    <w:top w:val="none" w:sz="0" w:space="0" w:color="auto"/>
                    <w:left w:val="none" w:sz="0" w:space="0" w:color="auto"/>
                    <w:bottom w:val="none" w:sz="0" w:space="0" w:color="auto"/>
                    <w:right w:val="none" w:sz="0" w:space="0" w:color="auto"/>
                  </w:divBdr>
                  <w:divsChild>
                    <w:div w:id="1595820330">
                      <w:marLeft w:val="0"/>
                      <w:marRight w:val="0"/>
                      <w:marTop w:val="0"/>
                      <w:marBottom w:val="0"/>
                      <w:divBdr>
                        <w:top w:val="none" w:sz="0" w:space="0" w:color="auto"/>
                        <w:left w:val="none" w:sz="0" w:space="0" w:color="auto"/>
                        <w:bottom w:val="none" w:sz="0" w:space="0" w:color="auto"/>
                        <w:right w:val="none" w:sz="0" w:space="0" w:color="auto"/>
                      </w:divBdr>
                      <w:divsChild>
                        <w:div w:id="148523135">
                          <w:marLeft w:val="0"/>
                          <w:marRight w:val="0"/>
                          <w:marTop w:val="0"/>
                          <w:marBottom w:val="0"/>
                          <w:divBdr>
                            <w:top w:val="single" w:sz="4" w:space="0" w:color="C5D1D9"/>
                            <w:left w:val="single" w:sz="4" w:space="0" w:color="C5D1D9"/>
                            <w:bottom w:val="single" w:sz="4" w:space="0" w:color="C5D1D9"/>
                            <w:right w:val="single" w:sz="4" w:space="0" w:color="C5D1D9"/>
                          </w:divBdr>
                          <w:divsChild>
                            <w:div w:id="2008437769">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2094</Characters>
  <Application>Microsoft Office Word</Application>
  <DocSecurity>0</DocSecurity>
  <Lines>17</Lines>
  <Paragraphs>4</Paragraphs>
  <ScaleCrop>false</ScaleCrop>
  <Company>Incometax</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 Sajeev</dc:creator>
  <cp:keywords/>
  <dc:description/>
  <cp:lastModifiedBy>K S Sajeev</cp:lastModifiedBy>
  <cp:revision>1</cp:revision>
  <dcterms:created xsi:type="dcterms:W3CDTF">2013-01-07T15:31:00Z</dcterms:created>
  <dcterms:modified xsi:type="dcterms:W3CDTF">2013-01-07T15:35:00Z</dcterms:modified>
</cp:coreProperties>
</file>