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13" w:rsidRPr="00700513" w:rsidRDefault="00700513" w:rsidP="00700513">
      <w:pPr>
        <w:shd w:val="clear" w:color="auto" w:fill="FFFFFF"/>
        <w:spacing w:after="0" w:line="240" w:lineRule="auto"/>
        <w:jc w:val="center"/>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b/>
          <w:bCs/>
          <w:color w:val="000000"/>
          <w:sz w:val="21"/>
          <w:szCs w:val="21"/>
          <w:lang w:eastAsia="en-IN"/>
        </w:rPr>
        <w:br/>
      </w:r>
      <w:r w:rsidRPr="00700513">
        <w:rPr>
          <w:rFonts w:ascii="Trebuchet MS" w:eastAsia="Times New Roman" w:hAnsi="Trebuchet MS" w:cs="Times New Roman"/>
          <w:b/>
          <w:bCs/>
          <w:color w:val="000000"/>
          <w:sz w:val="21"/>
          <w:lang w:eastAsia="en-IN"/>
        </w:rPr>
        <w:t>F.No.S-14025/3/2010-MS/CGHS (P) </w:t>
      </w:r>
      <w:r w:rsidRPr="00700513">
        <w:rPr>
          <w:rFonts w:ascii="Trebuchet MS" w:eastAsia="Times New Roman" w:hAnsi="Trebuchet MS" w:cs="Times New Roman"/>
          <w:b/>
          <w:bCs/>
          <w:color w:val="000000"/>
          <w:sz w:val="21"/>
          <w:szCs w:val="21"/>
          <w:lang w:eastAsia="en-IN"/>
        </w:rPr>
        <w:br/>
      </w:r>
      <w:r w:rsidRPr="00700513">
        <w:rPr>
          <w:rFonts w:ascii="Trebuchet MS" w:eastAsia="Times New Roman" w:hAnsi="Trebuchet MS" w:cs="Times New Roman"/>
          <w:b/>
          <w:bCs/>
          <w:color w:val="000000"/>
          <w:sz w:val="21"/>
          <w:lang w:eastAsia="en-IN"/>
        </w:rPr>
        <w:t>Government of India </w:t>
      </w:r>
      <w:r w:rsidRPr="00700513">
        <w:rPr>
          <w:rFonts w:ascii="Trebuchet MS" w:eastAsia="Times New Roman" w:hAnsi="Trebuchet MS" w:cs="Times New Roman"/>
          <w:b/>
          <w:bCs/>
          <w:color w:val="000000"/>
          <w:sz w:val="21"/>
          <w:szCs w:val="21"/>
          <w:lang w:eastAsia="en-IN"/>
        </w:rPr>
        <w:br/>
      </w:r>
      <w:r w:rsidRPr="00700513">
        <w:rPr>
          <w:rFonts w:ascii="Trebuchet MS" w:eastAsia="Times New Roman" w:hAnsi="Trebuchet MS" w:cs="Times New Roman"/>
          <w:b/>
          <w:bCs/>
          <w:color w:val="000000"/>
          <w:sz w:val="21"/>
          <w:lang w:eastAsia="en-IN"/>
        </w:rPr>
        <w:t>Ministry of Health &amp; Family Welfare </w:t>
      </w:r>
      <w:r w:rsidRPr="00700513">
        <w:rPr>
          <w:rFonts w:ascii="Trebuchet MS" w:eastAsia="Times New Roman" w:hAnsi="Trebuchet MS" w:cs="Times New Roman"/>
          <w:b/>
          <w:bCs/>
          <w:color w:val="000000"/>
          <w:sz w:val="21"/>
          <w:szCs w:val="21"/>
          <w:lang w:eastAsia="en-IN"/>
        </w:rPr>
        <w:br/>
      </w:r>
      <w:r w:rsidRPr="00700513">
        <w:rPr>
          <w:rFonts w:ascii="Trebuchet MS" w:eastAsia="Times New Roman" w:hAnsi="Trebuchet MS" w:cs="Times New Roman"/>
          <w:b/>
          <w:bCs/>
          <w:color w:val="000000"/>
          <w:sz w:val="21"/>
          <w:lang w:eastAsia="en-IN"/>
        </w:rPr>
        <w:t>Department of Health &amp; Family Welfare</w:t>
      </w:r>
    </w:p>
    <w:p w:rsidR="00700513" w:rsidRPr="00700513" w:rsidRDefault="00700513" w:rsidP="00700513">
      <w:pPr>
        <w:shd w:val="clear" w:color="auto" w:fill="FFFFFF"/>
        <w:spacing w:after="0" w:line="240" w:lineRule="auto"/>
        <w:jc w:val="right"/>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proofErr w:type="spellStart"/>
      <w:r w:rsidRPr="00700513">
        <w:rPr>
          <w:rFonts w:ascii="Trebuchet MS" w:eastAsia="Times New Roman" w:hAnsi="Trebuchet MS" w:cs="Times New Roman"/>
          <w:color w:val="000000"/>
          <w:sz w:val="21"/>
          <w:szCs w:val="21"/>
          <w:lang w:eastAsia="en-IN"/>
        </w:rPr>
        <w:t>Nirman</w:t>
      </w:r>
      <w:proofErr w:type="spellEnd"/>
      <w:r w:rsidRPr="00700513">
        <w:rPr>
          <w:rFonts w:ascii="Trebuchet MS" w:eastAsia="Times New Roman" w:hAnsi="Trebuchet MS" w:cs="Times New Roman"/>
          <w:color w:val="000000"/>
          <w:sz w:val="21"/>
          <w:szCs w:val="21"/>
          <w:lang w:eastAsia="en-IN"/>
        </w:rPr>
        <w:t xml:space="preserve"> </w:t>
      </w:r>
      <w:proofErr w:type="spellStart"/>
      <w:r w:rsidRPr="00700513">
        <w:rPr>
          <w:rFonts w:ascii="Trebuchet MS" w:eastAsia="Times New Roman" w:hAnsi="Trebuchet MS" w:cs="Times New Roman"/>
          <w:color w:val="000000"/>
          <w:sz w:val="21"/>
          <w:szCs w:val="21"/>
          <w:lang w:eastAsia="en-IN"/>
        </w:rPr>
        <w:t>Bhawan</w:t>
      </w:r>
      <w:proofErr w:type="spellEnd"/>
      <w:r w:rsidRPr="00700513">
        <w:rPr>
          <w:rFonts w:ascii="Trebuchet MS" w:eastAsia="Times New Roman" w:hAnsi="Trebuchet MS" w:cs="Times New Roman"/>
          <w:color w:val="000000"/>
          <w:sz w:val="21"/>
          <w:szCs w:val="21"/>
          <w:lang w:eastAsia="en-IN"/>
        </w:rPr>
        <w:t>, New Delhi</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Dated the 16th January, 2013</w:t>
      </w:r>
    </w:p>
    <w:p w:rsidR="00700513" w:rsidRPr="00700513" w:rsidRDefault="00700513" w:rsidP="00700513">
      <w:pPr>
        <w:shd w:val="clear" w:color="auto" w:fill="FFFFFF"/>
        <w:spacing w:after="240" w:line="240" w:lineRule="auto"/>
        <w:jc w:val="center"/>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b/>
          <w:bCs/>
          <w:color w:val="000000"/>
          <w:sz w:val="21"/>
          <w:lang w:eastAsia="en-IN"/>
        </w:rPr>
        <w:t>OFFICE MEMORANDUM</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proofErr w:type="gramStart"/>
      <w:r w:rsidRPr="00700513">
        <w:rPr>
          <w:rFonts w:ascii="Trebuchet MS" w:eastAsia="Times New Roman" w:hAnsi="Trebuchet MS" w:cs="Times New Roman"/>
          <w:color w:val="000000"/>
          <w:sz w:val="21"/>
          <w:szCs w:val="21"/>
          <w:lang w:eastAsia="en-IN"/>
        </w:rPr>
        <w:t>Subject :-</w:t>
      </w:r>
      <w:proofErr w:type="gramEnd"/>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b/>
          <w:bCs/>
          <w:color w:val="000000"/>
          <w:sz w:val="21"/>
          <w:szCs w:val="21"/>
          <w:lang w:eastAsia="en-IN"/>
        </w:rPr>
        <w:t>Guidelines &amp; Ceiling Rates for Liver Transplant Surgery in respect of CGHS / CS(MA) beneficiaries</w:t>
      </w:r>
    </w:p>
    <w:p w:rsidR="00700513" w:rsidRPr="00700513" w:rsidRDefault="00700513" w:rsidP="00700513">
      <w:pPr>
        <w:shd w:val="clear" w:color="auto" w:fill="FFFFFF"/>
        <w:spacing w:after="24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With reference to the above mentioned matter the undersigned is directed to state that the Ministry of Health and Family Welfare has been receiving requests from the Central Government employees and pensioners covered under CGHS / CS(MA) Rules, 1944 seeking approvals for Liver Transplantation surgery in respect of themselves and their eligible family members under CGHS / CS(MA) Rules. The Ministry has been examining these proposals on case to case basis for allowing the medical treatment to the beneficiaries on merits. In view of the increasing number of cases, the matter has been reviewed by this Ministry and it has now been decided to issue guidelines and ceiling rates for permission / reimbursement for Liver Transplant Surgery in respect of CGHS / CS (MA) beneficiaries as per the details mentioned below: -</w:t>
      </w:r>
      <w:bookmarkStart w:id="0" w:name="more"/>
      <w:bookmarkEnd w:id="0"/>
    </w:p>
    <w:p w:rsidR="00700513" w:rsidRPr="00700513" w:rsidRDefault="00700513" w:rsidP="00700513">
      <w:pPr>
        <w:shd w:val="clear" w:color="auto" w:fill="FFFFFF"/>
        <w:spacing w:after="24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b/>
          <w:bCs/>
          <w:color w:val="000000"/>
          <w:sz w:val="21"/>
          <w:lang w:eastAsia="en-IN"/>
        </w:rPr>
        <w:t>I. SELECTION CRITERIA</w:t>
      </w:r>
    </w:p>
    <w:p w:rsidR="00700513" w:rsidRPr="00700513" w:rsidRDefault="00700513" w:rsidP="00700513">
      <w:pPr>
        <w:spacing w:after="0" w:line="240" w:lineRule="auto"/>
        <w:rPr>
          <w:rFonts w:ascii="Times New Roman" w:eastAsia="Times New Roman" w:hAnsi="Times New Roman" w:cs="Times New Roman"/>
          <w:sz w:val="24"/>
          <w:szCs w:val="24"/>
          <w:lang w:eastAsia="en-IN"/>
        </w:rPr>
      </w:pPr>
      <w:r w:rsidRPr="00700513">
        <w:rPr>
          <w:rFonts w:ascii="Trebuchet MS" w:eastAsia="Times New Roman" w:hAnsi="Trebuchet MS" w:cs="Times New Roman"/>
          <w:b/>
          <w:bCs/>
          <w:color w:val="000000"/>
          <w:sz w:val="21"/>
          <w:lang w:eastAsia="en-IN"/>
        </w:rPr>
        <w:t>A. INDICATIONS</w:t>
      </w: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shd w:val="clear" w:color="auto" w:fill="FFFFFF"/>
          <w:lang w:eastAsia="en-IN"/>
        </w:rPr>
        <w:br/>
      </w:r>
      <w:r w:rsidRPr="00700513">
        <w:rPr>
          <w:rFonts w:ascii="Trebuchet MS" w:eastAsia="Times New Roman" w:hAnsi="Trebuchet MS" w:cs="Times New Roman"/>
          <w:color w:val="000000"/>
          <w:sz w:val="21"/>
          <w:szCs w:val="21"/>
          <w:shd w:val="clear" w:color="auto" w:fill="FFFFFF"/>
          <w:lang w:eastAsia="en-IN"/>
        </w:rPr>
        <w:t>1. Adult Liver diseases</w:t>
      </w:r>
      <w:r w:rsidRPr="00700513">
        <w:rPr>
          <w:rFonts w:ascii="Trebuchet MS" w:eastAsia="Times New Roman" w:hAnsi="Trebuchet MS" w:cs="Times New Roman"/>
          <w:color w:val="000000"/>
          <w:sz w:val="21"/>
          <w:szCs w:val="21"/>
          <w:lang w:eastAsia="en-IN"/>
        </w:rPr>
        <w:br/>
      </w:r>
    </w:p>
    <w:tbl>
      <w:tblPr>
        <w:tblW w:w="5000" w:type="pct"/>
        <w:tblBorders>
          <w:top w:val="outset" w:sz="6" w:space="0" w:color="111111"/>
          <w:left w:val="outset" w:sz="6" w:space="0" w:color="111111"/>
          <w:bottom w:val="outset" w:sz="6" w:space="0" w:color="111111"/>
          <w:right w:val="outset" w:sz="6" w:space="0" w:color="111111"/>
        </w:tblBorders>
        <w:shd w:val="clear" w:color="auto" w:fill="FFFFFF"/>
        <w:tblLayout w:type="fixed"/>
        <w:tblCellMar>
          <w:top w:w="75" w:type="dxa"/>
          <w:left w:w="75" w:type="dxa"/>
          <w:bottom w:w="75" w:type="dxa"/>
          <w:right w:w="75" w:type="dxa"/>
        </w:tblCellMar>
        <w:tblLook w:val="04A0"/>
      </w:tblPr>
      <w:tblGrid>
        <w:gridCol w:w="1919"/>
        <w:gridCol w:w="2693"/>
        <w:gridCol w:w="4564"/>
      </w:tblGrid>
      <w:tr w:rsidR="00700513" w:rsidRPr="00700513" w:rsidTr="00700513">
        <w:tc>
          <w:tcPr>
            <w:tcW w:w="1045"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Acute liver failure</w:t>
            </w: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Non-</w:t>
            </w:r>
            <w:proofErr w:type="spellStart"/>
            <w:r w:rsidRPr="00700513">
              <w:rPr>
                <w:rFonts w:ascii="Trebuchet MS" w:eastAsia="Times New Roman" w:hAnsi="Trebuchet MS" w:cs="Times New Roman"/>
                <w:color w:val="000000"/>
                <w:sz w:val="21"/>
                <w:szCs w:val="21"/>
                <w:lang w:eastAsia="en-IN"/>
              </w:rPr>
              <w:t>Paracetamol</w:t>
            </w:r>
            <w:proofErr w:type="spellEnd"/>
            <w:r w:rsidRPr="00700513">
              <w:rPr>
                <w:rFonts w:ascii="Trebuchet MS" w:eastAsia="Times New Roman" w:hAnsi="Trebuchet MS" w:cs="Times New Roman"/>
                <w:color w:val="000000"/>
                <w:sz w:val="21"/>
                <w:szCs w:val="21"/>
                <w:lang w:eastAsia="en-IN"/>
              </w:rPr>
              <w:t xml:space="preserve"> (Viral, drug, induced, Wilson’s, Autoimmune hepatitis etc.)</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roofErr w:type="spellStart"/>
            <w:r w:rsidRPr="00700513">
              <w:rPr>
                <w:rFonts w:ascii="Trebuchet MS" w:eastAsia="Times New Roman" w:hAnsi="Trebuchet MS" w:cs="Times New Roman"/>
                <w:color w:val="000000"/>
                <w:sz w:val="21"/>
                <w:szCs w:val="21"/>
                <w:lang w:eastAsia="en-IN"/>
              </w:rPr>
              <w:t>Prothrombin</w:t>
            </w:r>
            <w:proofErr w:type="spellEnd"/>
            <w:r w:rsidRPr="00700513">
              <w:rPr>
                <w:rFonts w:ascii="Trebuchet MS" w:eastAsia="Times New Roman" w:hAnsi="Trebuchet MS" w:cs="Times New Roman"/>
                <w:color w:val="000000"/>
                <w:sz w:val="21"/>
                <w:szCs w:val="21"/>
                <w:lang w:eastAsia="en-IN"/>
              </w:rPr>
              <w:t xml:space="preserve"> time &gt;100 sec or 3 of 5: Interval jaundice-encephalopathy &gt; 7 days</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 xml:space="preserve">Age &lt; 10 or &gt; 40 Years </w:t>
            </w:r>
            <w:proofErr w:type="spellStart"/>
            <w:r w:rsidRPr="00700513">
              <w:rPr>
                <w:rFonts w:ascii="Trebuchet MS" w:eastAsia="Times New Roman" w:hAnsi="Trebuchet MS" w:cs="Times New Roman"/>
                <w:color w:val="000000"/>
                <w:sz w:val="21"/>
                <w:szCs w:val="21"/>
                <w:lang w:eastAsia="en-IN"/>
              </w:rPr>
              <w:t>Prothrombin</w:t>
            </w:r>
            <w:proofErr w:type="spellEnd"/>
            <w:r w:rsidRPr="00700513">
              <w:rPr>
                <w:rFonts w:ascii="Trebuchet MS" w:eastAsia="Times New Roman" w:hAnsi="Trebuchet MS" w:cs="Times New Roman"/>
                <w:color w:val="000000"/>
                <w:sz w:val="21"/>
                <w:szCs w:val="21"/>
                <w:lang w:eastAsia="en-IN"/>
              </w:rPr>
              <w:t xml:space="preserve"> time &gt; 50 sec. / INR &gt; 3.5 </w:t>
            </w:r>
            <w:proofErr w:type="spellStart"/>
            <w:r w:rsidRPr="00700513">
              <w:rPr>
                <w:rFonts w:ascii="Trebuchet MS" w:eastAsia="Times New Roman" w:hAnsi="Trebuchet MS" w:cs="Times New Roman"/>
                <w:color w:val="000000"/>
                <w:sz w:val="21"/>
                <w:szCs w:val="21"/>
                <w:lang w:eastAsia="en-IN"/>
              </w:rPr>
              <w:t>Bilirubin</w:t>
            </w:r>
            <w:proofErr w:type="spellEnd"/>
            <w:r w:rsidRPr="00700513">
              <w:rPr>
                <w:rFonts w:ascii="Trebuchet MS" w:eastAsia="Times New Roman" w:hAnsi="Trebuchet MS" w:cs="Times New Roman"/>
                <w:color w:val="000000"/>
                <w:sz w:val="21"/>
                <w:szCs w:val="21"/>
                <w:lang w:eastAsia="en-IN"/>
              </w:rPr>
              <w:t xml:space="preserve"> &gt; 30 </w:t>
            </w:r>
            <w:proofErr w:type="spellStart"/>
            <w:r w:rsidRPr="00700513">
              <w:rPr>
                <w:rFonts w:ascii="Trebuchet MS" w:eastAsia="Times New Roman" w:hAnsi="Trebuchet MS" w:cs="Times New Roman"/>
                <w:color w:val="000000"/>
                <w:sz w:val="21"/>
                <w:szCs w:val="21"/>
                <w:lang w:eastAsia="en-IN"/>
              </w:rPr>
              <w:t>umol</w:t>
            </w:r>
            <w:proofErr w:type="spellEnd"/>
            <w:r w:rsidRPr="00700513">
              <w:rPr>
                <w:rFonts w:ascii="Trebuchet MS" w:eastAsia="Times New Roman" w:hAnsi="Trebuchet MS" w:cs="Times New Roman"/>
                <w:color w:val="000000"/>
                <w:sz w:val="21"/>
                <w:szCs w:val="21"/>
                <w:lang w:eastAsia="en-IN"/>
              </w:rPr>
              <w:t>/1 Cause non-viral or unknown.</w:t>
            </w:r>
          </w:p>
        </w:tc>
      </w:tr>
      <w:tr w:rsidR="00700513" w:rsidRPr="00700513" w:rsidTr="00700513">
        <w:tc>
          <w:tcPr>
            <w:tcW w:w="1045" w:type="pct"/>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roofErr w:type="spellStart"/>
            <w:r w:rsidRPr="00700513">
              <w:rPr>
                <w:rFonts w:ascii="Trebuchet MS" w:eastAsia="Times New Roman" w:hAnsi="Trebuchet MS" w:cs="Times New Roman"/>
                <w:color w:val="000000"/>
                <w:sz w:val="21"/>
                <w:szCs w:val="21"/>
                <w:lang w:eastAsia="en-IN"/>
              </w:rPr>
              <w:t>Paracetamol</w:t>
            </w:r>
            <w:proofErr w:type="spellEnd"/>
            <w:r w:rsidRPr="00700513">
              <w:rPr>
                <w:rFonts w:ascii="Trebuchet MS" w:eastAsia="Times New Roman" w:hAnsi="Trebuchet MS" w:cs="Times New Roman"/>
                <w:color w:val="000000"/>
                <w:sz w:val="21"/>
                <w:szCs w:val="21"/>
                <w:lang w:eastAsia="en-IN"/>
              </w:rPr>
              <w:t xml:space="preserve"> induced</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Arterial Ph &lt;7.30 or all 3 criteria Encephalopathy grade III or IV</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r>
            <w:proofErr w:type="spellStart"/>
            <w:r w:rsidRPr="00700513">
              <w:rPr>
                <w:rFonts w:ascii="Trebuchet MS" w:eastAsia="Times New Roman" w:hAnsi="Trebuchet MS" w:cs="Times New Roman"/>
                <w:color w:val="000000"/>
                <w:sz w:val="21"/>
                <w:szCs w:val="21"/>
                <w:lang w:eastAsia="en-IN"/>
              </w:rPr>
              <w:t>Prothrombin</w:t>
            </w:r>
            <w:proofErr w:type="spellEnd"/>
            <w:r w:rsidRPr="00700513">
              <w:rPr>
                <w:rFonts w:ascii="Trebuchet MS" w:eastAsia="Times New Roman" w:hAnsi="Trebuchet MS" w:cs="Times New Roman"/>
                <w:color w:val="000000"/>
                <w:sz w:val="21"/>
                <w:szCs w:val="21"/>
                <w:lang w:eastAsia="en-IN"/>
              </w:rPr>
              <w:t xml:space="preserve"> time &gt;100 sec./INR &gt; 6.5 </w:t>
            </w:r>
            <w:proofErr w:type="spellStart"/>
            <w:r w:rsidRPr="00700513">
              <w:rPr>
                <w:rFonts w:ascii="Trebuchet MS" w:eastAsia="Times New Roman" w:hAnsi="Trebuchet MS" w:cs="Times New Roman"/>
                <w:color w:val="000000"/>
                <w:sz w:val="21"/>
                <w:szCs w:val="21"/>
                <w:lang w:eastAsia="en-IN"/>
              </w:rPr>
              <w:t>Creatinine</w:t>
            </w:r>
            <w:proofErr w:type="spellEnd"/>
            <w:r w:rsidRPr="00700513">
              <w:rPr>
                <w:rFonts w:ascii="Trebuchet MS" w:eastAsia="Times New Roman" w:hAnsi="Trebuchet MS" w:cs="Times New Roman"/>
                <w:color w:val="000000"/>
                <w:sz w:val="21"/>
                <w:szCs w:val="21"/>
                <w:lang w:eastAsia="en-IN"/>
              </w:rPr>
              <w:t xml:space="preserve"> &gt;300 </w:t>
            </w:r>
            <w:proofErr w:type="spellStart"/>
            <w:r w:rsidRPr="00700513">
              <w:rPr>
                <w:rFonts w:ascii="Trebuchet MS" w:eastAsia="Times New Roman" w:hAnsi="Trebuchet MS" w:cs="Times New Roman"/>
                <w:color w:val="000000"/>
                <w:sz w:val="21"/>
                <w:szCs w:val="21"/>
                <w:lang w:eastAsia="en-IN"/>
              </w:rPr>
              <w:t>umol</w:t>
            </w:r>
            <w:proofErr w:type="spellEnd"/>
            <w:r w:rsidRPr="00700513">
              <w:rPr>
                <w:rFonts w:ascii="Trebuchet MS" w:eastAsia="Times New Roman" w:hAnsi="Trebuchet MS" w:cs="Times New Roman"/>
                <w:color w:val="000000"/>
                <w:sz w:val="21"/>
                <w:szCs w:val="21"/>
                <w:lang w:eastAsia="en-IN"/>
              </w:rPr>
              <w:t>/I</w:t>
            </w:r>
          </w:p>
        </w:tc>
      </w:tr>
      <w:tr w:rsidR="00700513" w:rsidRPr="00700513" w:rsidTr="00700513">
        <w:tc>
          <w:tcPr>
            <w:tcW w:w="104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Chronic Liver disease</w:t>
            </w: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Cirrhosis (Non- </w:t>
            </w:r>
            <w:proofErr w:type="spellStart"/>
            <w:r w:rsidRPr="00700513">
              <w:rPr>
                <w:rFonts w:ascii="Trebuchet MS" w:eastAsia="Times New Roman" w:hAnsi="Trebuchet MS" w:cs="Times New Roman"/>
                <w:color w:val="000000"/>
                <w:sz w:val="21"/>
                <w:szCs w:val="21"/>
                <w:lang w:eastAsia="en-IN"/>
              </w:rPr>
              <w:t>Cholestatic</w:t>
            </w:r>
            <w:proofErr w:type="spellEnd"/>
            <w:r w:rsidRPr="00700513">
              <w:rPr>
                <w:rFonts w:ascii="Trebuchet MS" w:eastAsia="Times New Roman" w:hAnsi="Trebuchet MS" w:cs="Times New Roman"/>
                <w:color w:val="000000"/>
                <w:sz w:val="21"/>
                <w:szCs w:val="21"/>
                <w:lang w:eastAsia="en-IN"/>
              </w:rPr>
              <w:t>)</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Child-Pugh score &gt;or equal 10 or Meld Score &gt; 14</w:t>
            </w:r>
          </w:p>
        </w:tc>
      </w:tr>
      <w:tr w:rsidR="00700513" w:rsidRPr="00700513" w:rsidTr="00700513">
        <w:tc>
          <w:tcPr>
            <w:tcW w:w="104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roofErr w:type="spellStart"/>
            <w:r w:rsidRPr="00700513">
              <w:rPr>
                <w:rFonts w:ascii="Trebuchet MS" w:eastAsia="Times New Roman" w:hAnsi="Trebuchet MS" w:cs="Times New Roman"/>
                <w:color w:val="000000"/>
                <w:sz w:val="21"/>
                <w:szCs w:val="21"/>
                <w:lang w:eastAsia="en-IN"/>
              </w:rPr>
              <w:t>Cholestatic</w:t>
            </w:r>
            <w:proofErr w:type="spellEnd"/>
            <w:r w:rsidRPr="00700513">
              <w:rPr>
                <w:rFonts w:ascii="Trebuchet MS" w:eastAsia="Times New Roman" w:hAnsi="Trebuchet MS" w:cs="Times New Roman"/>
                <w:color w:val="000000"/>
                <w:sz w:val="21"/>
                <w:szCs w:val="21"/>
                <w:lang w:eastAsia="en-IN"/>
              </w:rPr>
              <w:t xml:space="preserve"> with or without Cirrhosis</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According to American criteria based on MELD scoring</w:t>
            </w:r>
          </w:p>
        </w:tc>
      </w:tr>
      <w:tr w:rsidR="00700513" w:rsidRPr="00700513" w:rsidTr="00700513">
        <w:tc>
          <w:tcPr>
            <w:tcW w:w="104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Miscellaneous</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case to case basis</w:t>
            </w:r>
          </w:p>
        </w:tc>
      </w:tr>
      <w:tr w:rsidR="00700513" w:rsidRPr="00700513" w:rsidTr="00700513">
        <w:tc>
          <w:tcPr>
            <w:tcW w:w="104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Liver </w:t>
            </w:r>
            <w:proofErr w:type="spellStart"/>
            <w:r w:rsidRPr="00700513">
              <w:rPr>
                <w:rFonts w:ascii="Trebuchet MS" w:eastAsia="Times New Roman" w:hAnsi="Trebuchet MS" w:cs="Times New Roman"/>
                <w:color w:val="000000"/>
                <w:sz w:val="21"/>
                <w:szCs w:val="21"/>
                <w:lang w:eastAsia="en-IN"/>
              </w:rPr>
              <w:t>Tumors</w:t>
            </w:r>
            <w:proofErr w:type="spellEnd"/>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roofErr w:type="spellStart"/>
            <w:r w:rsidRPr="00700513">
              <w:rPr>
                <w:rFonts w:ascii="Trebuchet MS" w:eastAsia="Times New Roman" w:hAnsi="Trebuchet MS" w:cs="Times New Roman"/>
                <w:color w:val="000000"/>
                <w:sz w:val="21"/>
                <w:szCs w:val="21"/>
                <w:lang w:eastAsia="en-IN"/>
              </w:rPr>
              <w:t>Heptocellular</w:t>
            </w:r>
            <w:proofErr w:type="spellEnd"/>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Carcinoma</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Single </w:t>
            </w:r>
            <w:proofErr w:type="spellStart"/>
            <w:r w:rsidRPr="00700513">
              <w:rPr>
                <w:rFonts w:ascii="Trebuchet MS" w:eastAsia="Times New Roman" w:hAnsi="Trebuchet MS" w:cs="Times New Roman"/>
                <w:color w:val="000000"/>
                <w:sz w:val="21"/>
                <w:szCs w:val="21"/>
                <w:lang w:eastAsia="en-IN"/>
              </w:rPr>
              <w:t>Tumor</w:t>
            </w:r>
            <w:proofErr w:type="spellEnd"/>
            <w:r w:rsidRPr="00700513">
              <w:rPr>
                <w:rFonts w:ascii="Trebuchet MS" w:eastAsia="Times New Roman" w:hAnsi="Trebuchet MS" w:cs="Times New Roman"/>
                <w:color w:val="000000"/>
                <w:sz w:val="21"/>
                <w:szCs w:val="21"/>
                <w:lang w:eastAsia="en-IN"/>
              </w:rPr>
              <w:t xml:space="preserve"> &lt;6.5 cm or Two </w:t>
            </w:r>
            <w:proofErr w:type="spellStart"/>
            <w:r w:rsidRPr="00700513">
              <w:rPr>
                <w:rFonts w:ascii="Trebuchet MS" w:eastAsia="Times New Roman" w:hAnsi="Trebuchet MS" w:cs="Times New Roman"/>
                <w:color w:val="000000"/>
                <w:sz w:val="21"/>
                <w:szCs w:val="21"/>
                <w:lang w:eastAsia="en-IN"/>
              </w:rPr>
              <w:t>Tumors</w:t>
            </w:r>
            <w:proofErr w:type="spellEnd"/>
            <w:r w:rsidRPr="00700513">
              <w:rPr>
                <w:rFonts w:ascii="Trebuchet MS" w:eastAsia="Times New Roman" w:hAnsi="Trebuchet MS" w:cs="Times New Roman"/>
                <w:color w:val="000000"/>
                <w:sz w:val="21"/>
                <w:szCs w:val="21"/>
                <w:lang w:eastAsia="en-IN"/>
              </w:rPr>
              <w:t xml:space="preserve"> &lt; or equal 4.5 cm</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No Vascular invasion</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No distant Metastasis</w:t>
            </w:r>
          </w:p>
        </w:tc>
      </w:tr>
      <w:tr w:rsidR="00700513" w:rsidRPr="00700513" w:rsidTr="00700513">
        <w:tc>
          <w:tcPr>
            <w:tcW w:w="104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
        </w:tc>
        <w:tc>
          <w:tcPr>
            <w:tcW w:w="146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Other types</w:t>
            </w:r>
          </w:p>
        </w:tc>
        <w:tc>
          <w:tcPr>
            <w:tcW w:w="2487"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Case to case basis</w:t>
            </w:r>
          </w:p>
        </w:tc>
      </w:tr>
    </w:tbl>
    <w:p w:rsidR="00700513" w:rsidRPr="00700513" w:rsidRDefault="00700513" w:rsidP="00700513">
      <w:pPr>
        <w:spacing w:after="0" w:line="240" w:lineRule="auto"/>
        <w:rPr>
          <w:rFonts w:ascii="Times New Roman" w:eastAsia="Times New Roman" w:hAnsi="Times New Roman" w:cs="Times New Roman"/>
          <w:sz w:val="24"/>
          <w:szCs w:val="24"/>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shd w:val="clear" w:color="auto" w:fill="FFFFFF"/>
          <w:lang w:eastAsia="en-IN"/>
        </w:rPr>
        <w:t xml:space="preserve">2. </w:t>
      </w:r>
      <w:proofErr w:type="spellStart"/>
      <w:r w:rsidRPr="00700513">
        <w:rPr>
          <w:rFonts w:ascii="Trebuchet MS" w:eastAsia="Times New Roman" w:hAnsi="Trebuchet MS" w:cs="Times New Roman"/>
          <w:b/>
          <w:bCs/>
          <w:color w:val="000000"/>
          <w:sz w:val="21"/>
          <w:szCs w:val="21"/>
          <w:shd w:val="clear" w:color="auto" w:fill="FFFFFF"/>
          <w:lang w:eastAsia="en-IN"/>
        </w:rPr>
        <w:t>Pediatric</w:t>
      </w:r>
      <w:proofErr w:type="spellEnd"/>
      <w:r w:rsidRPr="00700513">
        <w:rPr>
          <w:rFonts w:ascii="Trebuchet MS" w:eastAsia="Times New Roman" w:hAnsi="Trebuchet MS" w:cs="Times New Roman"/>
          <w:b/>
          <w:bCs/>
          <w:color w:val="000000"/>
          <w:sz w:val="21"/>
          <w:szCs w:val="21"/>
          <w:shd w:val="clear" w:color="auto" w:fill="FFFFFF"/>
          <w:lang w:eastAsia="en-IN"/>
        </w:rPr>
        <w:t xml:space="preserve"> Liver diseases: - EHBA and Metabolic Liver Disease to be decided on case to case basis. </w:t>
      </w: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color w:val="000000"/>
          <w:sz w:val="21"/>
          <w:szCs w:val="21"/>
          <w:lang w:eastAsia="en-IN"/>
        </w:rPr>
        <w:lastRenderedPageBreak/>
        <w:br/>
      </w:r>
      <w:r w:rsidRPr="00700513">
        <w:rPr>
          <w:rFonts w:ascii="Trebuchet MS" w:eastAsia="Times New Roman" w:hAnsi="Trebuchet MS" w:cs="Times New Roman"/>
          <w:b/>
          <w:bCs/>
          <w:color w:val="000000"/>
          <w:sz w:val="21"/>
          <w:szCs w:val="21"/>
          <w:shd w:val="clear" w:color="auto" w:fill="FFFFFF"/>
          <w:lang w:eastAsia="en-IN"/>
        </w:rPr>
        <w:t>B. CONTRAINDICATIONS</w:t>
      </w:r>
      <w:r w:rsidRPr="00700513">
        <w:rPr>
          <w:rFonts w:ascii="Trebuchet MS" w:eastAsia="Times New Roman" w:hAnsi="Trebuchet MS" w:cs="Times New Roman"/>
          <w:b/>
          <w:bCs/>
          <w:color w:val="000000"/>
          <w:sz w:val="21"/>
          <w:lang w:eastAsia="en-IN"/>
        </w:rPr>
        <w:t> </w:t>
      </w:r>
      <w:r w:rsidRPr="00700513">
        <w:rPr>
          <w:rFonts w:ascii="Trebuchet MS" w:eastAsia="Times New Roman" w:hAnsi="Trebuchet MS" w:cs="Times New Roman"/>
          <w:color w:val="000000"/>
          <w:sz w:val="21"/>
          <w:szCs w:val="21"/>
          <w:lang w:eastAsia="en-IN"/>
        </w:rPr>
        <w:br/>
      </w:r>
    </w:p>
    <w:tbl>
      <w:tblPr>
        <w:tblW w:w="5000" w:type="pct"/>
        <w:tblBorders>
          <w:top w:val="outset" w:sz="6" w:space="0" w:color="111111"/>
          <w:left w:val="outset" w:sz="6" w:space="0" w:color="111111"/>
          <w:bottom w:val="outset" w:sz="6" w:space="0" w:color="111111"/>
          <w:right w:val="outset" w:sz="6" w:space="0" w:color="111111"/>
        </w:tblBorders>
        <w:shd w:val="clear" w:color="auto" w:fill="FFFFFF"/>
        <w:tblCellMar>
          <w:top w:w="75" w:type="dxa"/>
          <w:left w:w="75" w:type="dxa"/>
          <w:bottom w:w="75" w:type="dxa"/>
          <w:right w:w="75" w:type="dxa"/>
        </w:tblCellMar>
        <w:tblLook w:val="04A0"/>
      </w:tblPr>
      <w:tblGrid>
        <w:gridCol w:w="1494"/>
        <w:gridCol w:w="7682"/>
      </w:tblGrid>
      <w:tr w:rsidR="00700513" w:rsidRPr="00700513" w:rsidTr="00700513">
        <w:tc>
          <w:tcPr>
            <w:tcW w:w="81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Absolute</w:t>
            </w:r>
          </w:p>
        </w:tc>
        <w:tc>
          <w:tcPr>
            <w:tcW w:w="4186"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Systemic extra hepatic </w:t>
            </w:r>
            <w:proofErr w:type="spellStart"/>
            <w:r w:rsidRPr="00700513">
              <w:rPr>
                <w:rFonts w:ascii="Trebuchet MS" w:eastAsia="Times New Roman" w:hAnsi="Trebuchet MS" w:cs="Times New Roman"/>
                <w:color w:val="000000"/>
                <w:sz w:val="21"/>
                <w:szCs w:val="21"/>
                <w:lang w:eastAsia="en-IN"/>
              </w:rPr>
              <w:t>infcctions</w:t>
            </w:r>
            <w:proofErr w:type="spellEnd"/>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Extra hepatic malignancy (if not definitely cured)</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Irreversible brain damage</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Irreversible multi-organ failure</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 xml:space="preserve">Substance </w:t>
            </w:r>
            <w:proofErr w:type="spellStart"/>
            <w:r w:rsidRPr="00700513">
              <w:rPr>
                <w:rFonts w:ascii="Trebuchet MS" w:eastAsia="Times New Roman" w:hAnsi="Trebuchet MS" w:cs="Times New Roman"/>
                <w:color w:val="000000"/>
                <w:sz w:val="21"/>
                <w:szCs w:val="21"/>
                <w:lang w:eastAsia="en-IN"/>
              </w:rPr>
              <w:t>abusc</w:t>
            </w:r>
            <w:proofErr w:type="spellEnd"/>
            <w:r w:rsidRPr="00700513">
              <w:rPr>
                <w:rFonts w:ascii="Trebuchet MS" w:eastAsia="Times New Roman" w:hAnsi="Trebuchet MS" w:cs="Times New Roman"/>
                <w:color w:val="000000"/>
                <w:sz w:val="21"/>
                <w:szCs w:val="21"/>
                <w:lang w:eastAsia="en-IN"/>
              </w:rPr>
              <w:t xml:space="preserve"> ( if not abstinent for &gt; 6 months)</w:t>
            </w:r>
          </w:p>
        </w:tc>
      </w:tr>
      <w:tr w:rsidR="00700513" w:rsidRPr="00700513" w:rsidTr="00700513">
        <w:tc>
          <w:tcPr>
            <w:tcW w:w="81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Relative</w:t>
            </w:r>
          </w:p>
        </w:tc>
        <w:tc>
          <w:tcPr>
            <w:tcW w:w="4186"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HIV </w:t>
            </w:r>
            <w:proofErr w:type="spellStart"/>
            <w:r w:rsidRPr="00700513">
              <w:rPr>
                <w:rFonts w:ascii="Trebuchet MS" w:eastAsia="Times New Roman" w:hAnsi="Trebuchet MS" w:cs="Times New Roman"/>
                <w:color w:val="000000"/>
                <w:sz w:val="21"/>
                <w:szCs w:val="21"/>
                <w:lang w:eastAsia="en-IN"/>
              </w:rPr>
              <w:t>seropositivity</w:t>
            </w:r>
            <w:proofErr w:type="spellEnd"/>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Age &gt; 65 years</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Mental incapacity</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Extra hepatic disease limiting the chance of survival</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Residency outside India (unless emergency)</w:t>
            </w:r>
          </w:p>
        </w:tc>
      </w:tr>
    </w:tbl>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II. Type of Transplant: permitted for reimbursement.</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(a) Cadaveric donor</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(b) Live donor</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      </w:t>
      </w:r>
      <w:proofErr w:type="spellStart"/>
      <w:r w:rsidRPr="00700513">
        <w:rPr>
          <w:rFonts w:ascii="Trebuchet MS" w:eastAsia="Times New Roman" w:hAnsi="Trebuchet MS" w:cs="Times New Roman"/>
          <w:color w:val="000000"/>
          <w:sz w:val="21"/>
          <w:szCs w:val="21"/>
          <w:lang w:eastAsia="en-IN"/>
        </w:rPr>
        <w:t>i.Related</w:t>
      </w:r>
      <w:proofErr w:type="spellEnd"/>
      <w:r w:rsidRPr="00700513">
        <w:rPr>
          <w:rFonts w:ascii="Trebuchet MS" w:eastAsia="Times New Roman" w:hAnsi="Trebuchet MS" w:cs="Times New Roman"/>
          <w:color w:val="000000"/>
          <w:sz w:val="21"/>
          <w:szCs w:val="21"/>
          <w:lang w:eastAsia="en-IN"/>
        </w:rPr>
        <w:t xml:space="preserve"> (Near Relatives)</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ii. Unrelated (Only after approval by Authorization Committee)</w:t>
      </w:r>
    </w:p>
    <w:p w:rsidR="00700513" w:rsidRDefault="00700513" w:rsidP="00700513">
      <w:pPr>
        <w:shd w:val="clear" w:color="auto" w:fill="FFFFFF"/>
        <w:spacing w:after="0" w:line="240" w:lineRule="auto"/>
        <w:rPr>
          <w:rFonts w:ascii="Trebuchet MS" w:eastAsia="Times New Roman" w:hAnsi="Trebuchet MS" w:cs="Times New Roman"/>
          <w:b/>
          <w:bCs/>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III. Centres Approved for Liver Transplantation Surgery</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Liver Transplant Surgery shall be allowed only in Government Hospitals/ Pvt. Hospitals, which are registered under the Transplantation of Human Organs Act, 1994, as amended from time to time.</w:t>
      </w:r>
    </w:p>
    <w:p w:rsidR="00700513" w:rsidRDefault="00700513" w:rsidP="00700513">
      <w:pPr>
        <w:shd w:val="clear" w:color="auto" w:fill="FFFFFF"/>
        <w:spacing w:after="0" w:line="240" w:lineRule="auto"/>
        <w:jc w:val="both"/>
        <w:rPr>
          <w:rFonts w:ascii="Trebuchet MS" w:eastAsia="Times New Roman" w:hAnsi="Trebuchet MS" w:cs="Times New Roman"/>
          <w:b/>
          <w:bCs/>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IV. Permission / ex-post facto approval for Liver Transplantation Surgery</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The Liver Transplant Surgery will be permitted / reimbursed only after the request has been approved and recommended by a Standing Committee, comprising of the following:</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p>
    <w:tbl>
      <w:tblPr>
        <w:tblW w:w="5000" w:type="pct"/>
        <w:tblBorders>
          <w:top w:val="outset" w:sz="6" w:space="0" w:color="111111"/>
          <w:left w:val="outset" w:sz="6" w:space="0" w:color="111111"/>
          <w:bottom w:val="outset" w:sz="6" w:space="0" w:color="111111"/>
          <w:right w:val="outset" w:sz="6" w:space="0" w:color="111111"/>
        </w:tblBorders>
        <w:shd w:val="clear" w:color="auto" w:fill="FFFFFF"/>
        <w:tblCellMar>
          <w:top w:w="75" w:type="dxa"/>
          <w:left w:w="75" w:type="dxa"/>
          <w:bottom w:w="75" w:type="dxa"/>
          <w:right w:w="75" w:type="dxa"/>
        </w:tblCellMar>
        <w:tblLook w:val="04A0"/>
      </w:tblPr>
      <w:tblGrid>
        <w:gridCol w:w="482"/>
        <w:gridCol w:w="6598"/>
        <w:gridCol w:w="2096"/>
      </w:tblGrid>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1.</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proofErr w:type="spellStart"/>
            <w:r w:rsidRPr="00700513">
              <w:rPr>
                <w:rFonts w:ascii="Trebuchet MS" w:eastAsia="Times New Roman" w:hAnsi="Trebuchet MS" w:cs="Times New Roman"/>
                <w:color w:val="000000"/>
                <w:sz w:val="21"/>
                <w:szCs w:val="21"/>
                <w:lang w:eastAsia="en-IN"/>
              </w:rPr>
              <w:t>Addi</w:t>
            </w:r>
            <w:proofErr w:type="spellEnd"/>
            <w:r w:rsidRPr="00700513">
              <w:rPr>
                <w:rFonts w:ascii="Trebuchet MS" w:eastAsia="Times New Roman" w:hAnsi="Trebuchet MS" w:cs="Times New Roman"/>
                <w:color w:val="000000"/>
                <w:sz w:val="21"/>
                <w:szCs w:val="21"/>
                <w:lang w:eastAsia="en-IN"/>
              </w:rPr>
              <w:t>. DG, CGHS/DDG (M) (as the case may be)</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Chairman</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2</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HOD, GI Surgery, AIIMS</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3.</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HOD, Gastroenterology and Human Nutrition,</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 AIIMS</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4.</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HOD, Gastroenterology, G.B. Pant Hospital</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5</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HOD, GI Surgery, R&amp;R Hospital</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6.</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HOD, Gastroenterology, R&amp;R Hospital</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w:t>
            </w:r>
          </w:p>
        </w:tc>
      </w:tr>
      <w:tr w:rsidR="00700513" w:rsidRPr="00700513" w:rsidTr="00700513">
        <w:tc>
          <w:tcPr>
            <w:tcW w:w="263"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7.</w:t>
            </w:r>
          </w:p>
        </w:tc>
        <w:tc>
          <w:tcPr>
            <w:tcW w:w="359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Joint Director (R &amp; H), CGHS/Addl. DDG(MG-l1)</w:t>
            </w:r>
          </w:p>
        </w:tc>
        <w:tc>
          <w:tcPr>
            <w:tcW w:w="1142"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700513" w:rsidRPr="00700513" w:rsidRDefault="00700513" w:rsidP="00700513">
            <w:pPr>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Member Secy.</w:t>
            </w:r>
          </w:p>
        </w:tc>
      </w:tr>
    </w:tbl>
    <w:p w:rsidR="00700513" w:rsidRPr="00700513" w:rsidRDefault="00700513" w:rsidP="00700513">
      <w:pPr>
        <w:spacing w:after="0" w:line="240" w:lineRule="auto"/>
        <w:jc w:val="both"/>
        <w:rPr>
          <w:rFonts w:ascii="Times New Roman" w:eastAsia="Times New Roman" w:hAnsi="Times New Roman" w:cs="Times New Roman"/>
          <w:sz w:val="24"/>
          <w:szCs w:val="24"/>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color w:val="000000"/>
          <w:sz w:val="21"/>
          <w:szCs w:val="21"/>
          <w:shd w:val="clear" w:color="auto" w:fill="FFFFFF"/>
          <w:lang w:eastAsia="en-IN"/>
        </w:rPr>
        <w:t>The above Standing Committee shall consider the cases in respect of CGHS as well as CS (MA) beneficiaries.</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V. Documents required to be submitted for consideration of reimbursement / permission.</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1. Recommendation by Govt. Gastroenterologist / GI Surgeon by at least one surgeons doing Liver Transplant Surgery.</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2. CT /MRI Liver report.</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3. </w:t>
      </w:r>
      <w:proofErr w:type="spellStart"/>
      <w:r w:rsidRPr="00700513">
        <w:rPr>
          <w:rFonts w:ascii="Trebuchet MS" w:eastAsia="Times New Roman" w:hAnsi="Trebuchet MS" w:cs="Times New Roman"/>
          <w:color w:val="000000"/>
          <w:sz w:val="21"/>
          <w:szCs w:val="21"/>
          <w:lang w:eastAsia="en-IN"/>
        </w:rPr>
        <w:t>Etiology</w:t>
      </w:r>
      <w:proofErr w:type="spellEnd"/>
      <w:r w:rsidRPr="00700513">
        <w:rPr>
          <w:rFonts w:ascii="Trebuchet MS" w:eastAsia="Times New Roman" w:hAnsi="Trebuchet MS" w:cs="Times New Roman"/>
          <w:color w:val="000000"/>
          <w:sz w:val="21"/>
          <w:szCs w:val="21"/>
          <w:lang w:eastAsia="en-IN"/>
        </w:rPr>
        <w:t xml:space="preserve"> evaluation report.</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4. </w:t>
      </w:r>
      <w:proofErr w:type="spellStart"/>
      <w:r w:rsidRPr="00700513">
        <w:rPr>
          <w:rFonts w:ascii="Trebuchet MS" w:eastAsia="Times New Roman" w:hAnsi="Trebuchet MS" w:cs="Times New Roman"/>
          <w:color w:val="000000"/>
          <w:sz w:val="21"/>
          <w:szCs w:val="21"/>
          <w:lang w:eastAsia="en-IN"/>
        </w:rPr>
        <w:t>Histopathological</w:t>
      </w:r>
      <w:proofErr w:type="spellEnd"/>
      <w:r w:rsidRPr="00700513">
        <w:rPr>
          <w:rFonts w:ascii="Trebuchet MS" w:eastAsia="Times New Roman" w:hAnsi="Trebuchet MS" w:cs="Times New Roman"/>
          <w:color w:val="000000"/>
          <w:sz w:val="21"/>
          <w:szCs w:val="21"/>
          <w:lang w:eastAsia="en-IN"/>
        </w:rPr>
        <w:t xml:space="preserve"> report, wherever available</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5. Current Child Pugh /MELD score report</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6. Other relevant document.</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 xml:space="preserve">VI. Reimbursement </w:t>
      </w:r>
      <w:proofErr w:type="gramStart"/>
      <w:r w:rsidRPr="00700513">
        <w:rPr>
          <w:rFonts w:ascii="Trebuchet MS" w:eastAsia="Times New Roman" w:hAnsi="Trebuchet MS" w:cs="Times New Roman"/>
          <w:b/>
          <w:bCs/>
          <w:color w:val="000000"/>
          <w:sz w:val="21"/>
          <w:szCs w:val="21"/>
          <w:lang w:eastAsia="en-IN"/>
        </w:rPr>
        <w:t>Criteria :</w:t>
      </w:r>
      <w:proofErr w:type="gramEnd"/>
      <w:r w:rsidRPr="00700513">
        <w:rPr>
          <w:rFonts w:ascii="Trebuchet MS" w:eastAsia="Times New Roman" w:hAnsi="Trebuchet MS" w:cs="Times New Roman"/>
          <w:b/>
          <w:bCs/>
          <w:color w:val="000000"/>
          <w:sz w:val="21"/>
          <w:szCs w:val="21"/>
          <w:lang w:eastAsia="en-IN"/>
        </w:rPr>
        <w:t>-</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lastRenderedPageBreak/>
        <w:t xml:space="preserve">As Liver Transplant Surgery is a planned surgery and </w:t>
      </w:r>
      <w:proofErr w:type="spellStart"/>
      <w:r w:rsidRPr="00700513">
        <w:rPr>
          <w:rFonts w:ascii="Trebuchet MS" w:eastAsia="Times New Roman" w:hAnsi="Trebuchet MS" w:cs="Times New Roman"/>
          <w:color w:val="000000"/>
          <w:sz w:val="21"/>
          <w:szCs w:val="21"/>
          <w:lang w:eastAsia="en-IN"/>
        </w:rPr>
        <w:t>ther</w:t>
      </w:r>
      <w:proofErr w:type="spellEnd"/>
      <w:r w:rsidRPr="00700513">
        <w:rPr>
          <w:rFonts w:ascii="Trebuchet MS" w:eastAsia="Times New Roman" w:hAnsi="Trebuchet MS" w:cs="Times New Roman"/>
          <w:color w:val="000000"/>
          <w:sz w:val="21"/>
          <w:szCs w:val="21"/>
          <w:lang w:eastAsia="en-IN"/>
        </w:rPr>
        <w:t xml:space="preserve"> </w:t>
      </w:r>
      <w:proofErr w:type="spellStart"/>
      <w:proofErr w:type="gramStart"/>
      <w:r w:rsidRPr="00700513">
        <w:rPr>
          <w:rFonts w:ascii="Trebuchet MS" w:eastAsia="Times New Roman" w:hAnsi="Trebuchet MS" w:cs="Times New Roman"/>
          <w:color w:val="000000"/>
          <w:sz w:val="21"/>
          <w:szCs w:val="21"/>
          <w:lang w:eastAsia="en-IN"/>
        </w:rPr>
        <w:t>dore</w:t>
      </w:r>
      <w:proofErr w:type="spellEnd"/>
      <w:proofErr w:type="gramEnd"/>
      <w:r w:rsidRPr="00700513">
        <w:rPr>
          <w:rFonts w:ascii="Trebuchet MS" w:eastAsia="Times New Roman" w:hAnsi="Trebuchet MS" w:cs="Times New Roman"/>
          <w:color w:val="000000"/>
          <w:sz w:val="21"/>
          <w:szCs w:val="21"/>
          <w:lang w:eastAsia="en-IN"/>
        </w:rPr>
        <w:t xml:space="preserve">, prior permission has to be obtained before the surgery is undertaken. </w:t>
      </w:r>
      <w:proofErr w:type="spellStart"/>
      <w:r w:rsidRPr="00700513">
        <w:rPr>
          <w:rFonts w:ascii="Trebuchet MS" w:eastAsia="Times New Roman" w:hAnsi="Trebuchet MS" w:cs="Times New Roman"/>
          <w:color w:val="000000"/>
          <w:sz w:val="21"/>
          <w:szCs w:val="21"/>
          <w:lang w:eastAsia="en-IN"/>
        </w:rPr>
        <w:t>However</w:t>
      </w:r>
      <w:proofErr w:type="gramStart"/>
      <w:r w:rsidRPr="00700513">
        <w:rPr>
          <w:rFonts w:ascii="Trebuchet MS" w:eastAsia="Times New Roman" w:hAnsi="Trebuchet MS" w:cs="Times New Roman"/>
          <w:color w:val="000000"/>
          <w:sz w:val="21"/>
          <w:szCs w:val="21"/>
          <w:lang w:eastAsia="en-IN"/>
        </w:rPr>
        <w:t>,if</w:t>
      </w:r>
      <w:proofErr w:type="spellEnd"/>
      <w:proofErr w:type="gramEnd"/>
      <w:r w:rsidRPr="00700513">
        <w:rPr>
          <w:rFonts w:ascii="Trebuchet MS" w:eastAsia="Times New Roman" w:hAnsi="Trebuchet MS" w:cs="Times New Roman"/>
          <w:color w:val="000000"/>
          <w:sz w:val="21"/>
          <w:szCs w:val="21"/>
          <w:lang w:eastAsia="en-IN"/>
        </w:rPr>
        <w:t xml:space="preserve"> for some reason it is done in emergency to save the life of the patient, the Standing Committee shall consider the cases referred to it for recommending grant of ex-post-facto permission on a case to case basis.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VII. Submission of Application:</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CGHS / CS (MA) beneficiaries will submit their request for permission for Liver Transplant to the Standing Committee, through their respective Department in case of serving employees and the Additional Director, CGHS of the concerned zone or city, in case of pensioner CGHS beneficiary. The Department concerned will refer the cases to the office of Director, CGHS in case of a CGHS beneficiary and to the Medical Services Division of Department of Health and Family Welfare in case of CS (MA) beneficiaries for processing the case and its submission before the Standing Committee for their consideration and recommendations.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 xml:space="preserve">VIII. Ceiling Rate for reimbursement for Liver Transplantation surgery under CGHS / </w:t>
      </w:r>
      <w:proofErr w:type="gramStart"/>
      <w:r w:rsidRPr="00700513">
        <w:rPr>
          <w:rFonts w:ascii="Trebuchet MS" w:eastAsia="Times New Roman" w:hAnsi="Trebuchet MS" w:cs="Times New Roman"/>
          <w:b/>
          <w:bCs/>
          <w:color w:val="000000"/>
          <w:sz w:val="21"/>
          <w:szCs w:val="21"/>
          <w:lang w:eastAsia="en-IN"/>
        </w:rPr>
        <w:t>CS(</w:t>
      </w:r>
      <w:proofErr w:type="gramEnd"/>
      <w:r w:rsidRPr="00700513">
        <w:rPr>
          <w:rFonts w:ascii="Trebuchet MS" w:eastAsia="Times New Roman" w:hAnsi="Trebuchet MS" w:cs="Times New Roman"/>
          <w:b/>
          <w:bCs/>
          <w:color w:val="000000"/>
          <w:sz w:val="21"/>
          <w:szCs w:val="21"/>
          <w:lang w:eastAsia="en-IN"/>
        </w:rPr>
        <w:t>MA) rule.</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b/>
          <w:bCs/>
          <w:color w:val="000000"/>
          <w:sz w:val="21"/>
          <w:szCs w:val="21"/>
          <w:lang w:eastAsia="en-IN"/>
        </w:rPr>
        <w:t>(a) The package rate for Liver Transplantation surgery involving live liver donor shall be as follows: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Rs. 11</w:t>
      </w:r>
      <w:proofErr w:type="gramStart"/>
      <w:r w:rsidRPr="00700513">
        <w:rPr>
          <w:rFonts w:ascii="Trebuchet MS" w:eastAsia="Times New Roman" w:hAnsi="Trebuchet MS" w:cs="Times New Roman"/>
          <w:color w:val="000000"/>
          <w:sz w:val="21"/>
          <w:szCs w:val="21"/>
          <w:lang w:eastAsia="en-IN"/>
        </w:rPr>
        <w:t>,50,000</w:t>
      </w:r>
      <w:proofErr w:type="gramEnd"/>
      <w:r w:rsidRPr="00700513">
        <w:rPr>
          <w:rFonts w:ascii="Trebuchet MS" w:eastAsia="Times New Roman" w:hAnsi="Trebuchet MS" w:cs="Times New Roman"/>
          <w:color w:val="000000"/>
          <w:sz w:val="21"/>
          <w:szCs w:val="21"/>
          <w:lang w:eastAsia="en-IN"/>
        </w:rPr>
        <w:t xml:space="preserve">/- ( Rupees Eleven </w:t>
      </w:r>
      <w:proofErr w:type="spellStart"/>
      <w:r w:rsidRPr="00700513">
        <w:rPr>
          <w:rFonts w:ascii="Trebuchet MS" w:eastAsia="Times New Roman" w:hAnsi="Trebuchet MS" w:cs="Times New Roman"/>
          <w:color w:val="000000"/>
          <w:sz w:val="21"/>
          <w:szCs w:val="21"/>
          <w:lang w:eastAsia="en-IN"/>
        </w:rPr>
        <w:t>lakh</w:t>
      </w:r>
      <w:proofErr w:type="spellEnd"/>
      <w:r w:rsidRPr="00700513">
        <w:rPr>
          <w:rFonts w:ascii="Trebuchet MS" w:eastAsia="Times New Roman" w:hAnsi="Trebuchet MS" w:cs="Times New Roman"/>
          <w:color w:val="000000"/>
          <w:sz w:val="21"/>
          <w:szCs w:val="21"/>
          <w:lang w:eastAsia="en-IN"/>
        </w:rPr>
        <w:t xml:space="preserve"> fifty thousand only) + pre transplant evaluation of donor and recipient- Rs. 2,50,000/- (Rupees Two </w:t>
      </w:r>
      <w:proofErr w:type="spellStart"/>
      <w:r w:rsidRPr="00700513">
        <w:rPr>
          <w:rFonts w:ascii="Trebuchet MS" w:eastAsia="Times New Roman" w:hAnsi="Trebuchet MS" w:cs="Times New Roman"/>
          <w:color w:val="000000"/>
          <w:sz w:val="21"/>
          <w:szCs w:val="21"/>
          <w:lang w:eastAsia="en-IN"/>
        </w:rPr>
        <w:t>lakh</w:t>
      </w:r>
      <w:proofErr w:type="spellEnd"/>
      <w:r w:rsidRPr="00700513">
        <w:rPr>
          <w:rFonts w:ascii="Trebuchet MS" w:eastAsia="Times New Roman" w:hAnsi="Trebuchet MS" w:cs="Times New Roman"/>
          <w:color w:val="000000"/>
          <w:sz w:val="21"/>
          <w:szCs w:val="21"/>
          <w:lang w:eastAsia="en-IN"/>
        </w:rPr>
        <w:t xml:space="preserve"> fifty thousand only).</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(b) The package rate for Liver Transplant surgery involving a deceased donor shall be:</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Rs. 11</w:t>
      </w:r>
      <w:proofErr w:type="gramStart"/>
      <w:r w:rsidRPr="00700513">
        <w:rPr>
          <w:rFonts w:ascii="Trebuchet MS" w:eastAsia="Times New Roman" w:hAnsi="Trebuchet MS" w:cs="Times New Roman"/>
          <w:color w:val="000000"/>
          <w:sz w:val="21"/>
          <w:szCs w:val="21"/>
          <w:lang w:eastAsia="en-IN"/>
        </w:rPr>
        <w:t>,00,000</w:t>
      </w:r>
      <w:proofErr w:type="gramEnd"/>
      <w:r w:rsidRPr="00700513">
        <w:rPr>
          <w:rFonts w:ascii="Trebuchet MS" w:eastAsia="Times New Roman" w:hAnsi="Trebuchet MS" w:cs="Times New Roman"/>
          <w:color w:val="000000"/>
          <w:sz w:val="21"/>
          <w:szCs w:val="21"/>
          <w:lang w:eastAsia="en-IN"/>
        </w:rPr>
        <w:t xml:space="preserve">/- ( Rupees Eleven </w:t>
      </w:r>
      <w:proofErr w:type="spellStart"/>
      <w:r w:rsidRPr="00700513">
        <w:rPr>
          <w:rFonts w:ascii="Trebuchet MS" w:eastAsia="Times New Roman" w:hAnsi="Trebuchet MS" w:cs="Times New Roman"/>
          <w:color w:val="000000"/>
          <w:sz w:val="21"/>
          <w:szCs w:val="21"/>
          <w:lang w:eastAsia="en-IN"/>
        </w:rPr>
        <w:t>lakh</w:t>
      </w:r>
      <w:proofErr w:type="spellEnd"/>
      <w:r w:rsidRPr="00700513">
        <w:rPr>
          <w:rFonts w:ascii="Trebuchet MS" w:eastAsia="Times New Roman" w:hAnsi="Trebuchet MS" w:cs="Times New Roman"/>
          <w:color w:val="000000"/>
          <w:sz w:val="21"/>
          <w:szCs w:val="21"/>
          <w:lang w:eastAsia="en-IN"/>
        </w:rPr>
        <w:t xml:space="preserve"> only)</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This </w:t>
      </w:r>
      <w:proofErr w:type="gramStart"/>
      <w:r w:rsidRPr="00700513">
        <w:rPr>
          <w:rFonts w:ascii="Trebuchet MS" w:eastAsia="Times New Roman" w:hAnsi="Trebuchet MS" w:cs="Times New Roman"/>
          <w:color w:val="000000"/>
          <w:sz w:val="21"/>
          <w:szCs w:val="21"/>
          <w:lang w:eastAsia="en-IN"/>
        </w:rPr>
        <w:t>includes,</w:t>
      </w:r>
      <w:proofErr w:type="gramEnd"/>
      <w:r w:rsidRPr="00700513">
        <w:rPr>
          <w:rFonts w:ascii="Trebuchet MS" w:eastAsia="Times New Roman" w:hAnsi="Trebuchet MS" w:cs="Times New Roman"/>
          <w:color w:val="000000"/>
          <w:sz w:val="21"/>
          <w:szCs w:val="21"/>
          <w:lang w:eastAsia="en-IN"/>
        </w:rPr>
        <w:t xml:space="preserve"> the cost of consumables during the organ retrieval and the cost of preservative solution, etc.</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proofErr w:type="spellStart"/>
      <w:r w:rsidRPr="00700513">
        <w:rPr>
          <w:rFonts w:ascii="Trebuchet MS" w:eastAsia="Times New Roman" w:hAnsi="Trebuchet MS" w:cs="Times New Roman"/>
          <w:b/>
          <w:bCs/>
          <w:color w:val="000000"/>
          <w:sz w:val="21"/>
          <w:szCs w:val="21"/>
          <w:lang w:eastAsia="en-IN"/>
        </w:rPr>
        <w:t>i</w:t>
      </w:r>
      <w:proofErr w:type="spellEnd"/>
      <w:r w:rsidRPr="00700513">
        <w:rPr>
          <w:rFonts w:ascii="Trebuchet MS" w:eastAsia="Times New Roman" w:hAnsi="Trebuchet MS" w:cs="Times New Roman"/>
          <w:b/>
          <w:bCs/>
          <w:color w:val="000000"/>
          <w:sz w:val="21"/>
          <w:szCs w:val="21"/>
          <w:lang w:eastAsia="en-IN"/>
        </w:rPr>
        <w:t>) The package charges include the following</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1. 30 days stay of the recipient and 15 days for the donor starting one day prior to the transplant surgery.</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 xml:space="preserve">2. Charges for Medical and Surgical Consumables, surgical and Procedure Charges, Operation </w:t>
      </w:r>
      <w:proofErr w:type="spellStart"/>
      <w:proofErr w:type="gramStart"/>
      <w:r w:rsidRPr="00700513">
        <w:rPr>
          <w:rFonts w:ascii="Trebuchet MS" w:eastAsia="Times New Roman" w:hAnsi="Trebuchet MS" w:cs="Times New Roman"/>
          <w:color w:val="000000"/>
          <w:sz w:val="21"/>
          <w:szCs w:val="21"/>
          <w:lang w:eastAsia="en-IN"/>
        </w:rPr>
        <w:t>theater</w:t>
      </w:r>
      <w:proofErr w:type="spellEnd"/>
      <w:proofErr w:type="gramEnd"/>
      <w:r w:rsidRPr="00700513">
        <w:rPr>
          <w:rFonts w:ascii="Trebuchet MS" w:eastAsia="Times New Roman" w:hAnsi="Trebuchet MS" w:cs="Times New Roman"/>
          <w:color w:val="000000"/>
          <w:sz w:val="21"/>
          <w:szCs w:val="21"/>
          <w:lang w:eastAsia="en-IN"/>
        </w:rPr>
        <w:t xml:space="preserve"> Charges, </w:t>
      </w:r>
      <w:proofErr w:type="spellStart"/>
      <w:r w:rsidRPr="00700513">
        <w:rPr>
          <w:rFonts w:ascii="Trebuchet MS" w:eastAsia="Times New Roman" w:hAnsi="Trebuchet MS" w:cs="Times New Roman"/>
          <w:color w:val="000000"/>
          <w:sz w:val="21"/>
          <w:szCs w:val="21"/>
          <w:lang w:eastAsia="en-IN"/>
        </w:rPr>
        <w:t>Anesthesia</w:t>
      </w:r>
      <w:proofErr w:type="spellEnd"/>
      <w:r w:rsidRPr="00700513">
        <w:rPr>
          <w:rFonts w:ascii="Trebuchet MS" w:eastAsia="Times New Roman" w:hAnsi="Trebuchet MS" w:cs="Times New Roman"/>
          <w:color w:val="000000"/>
          <w:sz w:val="21"/>
          <w:szCs w:val="21"/>
          <w:lang w:eastAsia="en-IN"/>
        </w:rPr>
        <w:t xml:space="preserve"> Charges, Pharmacy, Investigations and in house doctor consultation for both donor and recipient during the above period. This also includes all post operative investigations and procedures during the above mentioned period.</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ii) The package excludes: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t xml:space="preserve">1. Charges for drugs like </w:t>
      </w:r>
      <w:proofErr w:type="spellStart"/>
      <w:r w:rsidRPr="00700513">
        <w:rPr>
          <w:rFonts w:ascii="Trebuchet MS" w:eastAsia="Times New Roman" w:hAnsi="Trebuchet MS" w:cs="Times New Roman"/>
          <w:color w:val="000000"/>
          <w:sz w:val="21"/>
          <w:szCs w:val="21"/>
          <w:lang w:eastAsia="en-IN"/>
        </w:rPr>
        <w:t>Basiliximab</w:t>
      </w:r>
      <w:proofErr w:type="spellEnd"/>
      <w:r w:rsidRPr="00700513">
        <w:rPr>
          <w:rFonts w:ascii="Trebuchet MS" w:eastAsia="Times New Roman" w:hAnsi="Trebuchet MS" w:cs="Times New Roman"/>
          <w:color w:val="000000"/>
          <w:sz w:val="21"/>
          <w:szCs w:val="21"/>
          <w:lang w:eastAsia="en-IN"/>
        </w:rPr>
        <w:t>/</w:t>
      </w:r>
      <w:proofErr w:type="spellStart"/>
      <w:r w:rsidRPr="00700513">
        <w:rPr>
          <w:rFonts w:ascii="Trebuchet MS" w:eastAsia="Times New Roman" w:hAnsi="Trebuchet MS" w:cs="Times New Roman"/>
          <w:color w:val="000000"/>
          <w:sz w:val="21"/>
          <w:szCs w:val="21"/>
          <w:lang w:eastAsia="en-IN"/>
        </w:rPr>
        <w:t>Daclizumab</w:t>
      </w:r>
      <w:proofErr w:type="spellEnd"/>
      <w:r w:rsidRPr="00700513">
        <w:rPr>
          <w:rFonts w:ascii="Trebuchet MS" w:eastAsia="Times New Roman" w:hAnsi="Trebuchet MS" w:cs="Times New Roman"/>
          <w:color w:val="000000"/>
          <w:sz w:val="21"/>
          <w:szCs w:val="21"/>
          <w:lang w:eastAsia="en-IN"/>
        </w:rPr>
        <w:t>, HBIG, and peg Interferon.</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2. Cross Matching charges for Blood and Blood products.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 xml:space="preserve">Note: 1. </w:t>
      </w:r>
      <w:proofErr w:type="gramStart"/>
      <w:r w:rsidRPr="00700513">
        <w:rPr>
          <w:rFonts w:ascii="Trebuchet MS" w:eastAsia="Times New Roman" w:hAnsi="Trebuchet MS" w:cs="Times New Roman"/>
          <w:color w:val="000000"/>
          <w:sz w:val="21"/>
          <w:szCs w:val="21"/>
          <w:lang w:eastAsia="en-IN"/>
        </w:rPr>
        <w:t>The</w:t>
      </w:r>
      <w:proofErr w:type="gramEnd"/>
      <w:r w:rsidRPr="00700513">
        <w:rPr>
          <w:rFonts w:ascii="Trebuchet MS" w:eastAsia="Times New Roman" w:hAnsi="Trebuchet MS" w:cs="Times New Roman"/>
          <w:color w:val="000000"/>
          <w:sz w:val="21"/>
          <w:szCs w:val="21"/>
          <w:lang w:eastAsia="en-IN"/>
        </w:rPr>
        <w:t xml:space="preserve"> extra stay if any may be reimbursed after justification by the treating specialists for the reason of additional stay and only as per CGHS guidelines.</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t>2. The drugs mentioned above would be reimbursed as per CGHS rates or actual whichever is lower.</w:t>
      </w:r>
    </w:p>
    <w:p w:rsidR="00700513" w:rsidRPr="00700513" w:rsidRDefault="00700513" w:rsidP="00700513">
      <w:pPr>
        <w:shd w:val="clear" w:color="auto" w:fill="FFFFFF"/>
        <w:spacing w:after="0" w:line="240" w:lineRule="auto"/>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r w:rsidRPr="00700513">
        <w:rPr>
          <w:rFonts w:ascii="Trebuchet MS" w:eastAsia="Times New Roman" w:hAnsi="Trebuchet MS" w:cs="Times New Roman"/>
          <w:b/>
          <w:bCs/>
          <w:color w:val="000000"/>
          <w:sz w:val="21"/>
          <w:szCs w:val="21"/>
          <w:lang w:eastAsia="en-IN"/>
        </w:rPr>
        <w:t>This Office Memorandum shall come into effect from the date of issue.</w:t>
      </w:r>
    </w:p>
    <w:p w:rsidR="00700513" w:rsidRPr="00700513" w:rsidRDefault="00700513" w:rsidP="00700513">
      <w:pPr>
        <w:shd w:val="clear" w:color="auto" w:fill="FFFFFF"/>
        <w:spacing w:after="0" w:line="240" w:lineRule="auto"/>
        <w:jc w:val="both"/>
        <w:rPr>
          <w:rFonts w:ascii="Trebuchet MS" w:eastAsia="Times New Roman" w:hAnsi="Trebuchet MS" w:cs="Times New Roman"/>
          <w:color w:val="000000"/>
          <w:sz w:val="21"/>
          <w:szCs w:val="21"/>
          <w:lang w:eastAsia="en-IN"/>
        </w:rPr>
      </w:pPr>
      <w:r w:rsidRPr="00700513">
        <w:rPr>
          <w:rFonts w:ascii="Trebuchet MS" w:eastAsia="Times New Roman" w:hAnsi="Trebuchet MS" w:cs="Times New Roman"/>
          <w:color w:val="000000"/>
          <w:sz w:val="21"/>
          <w:szCs w:val="21"/>
          <w:lang w:eastAsia="en-IN"/>
        </w:rPr>
        <w:br/>
      </w:r>
      <w:proofErr w:type="gramStart"/>
      <w:r w:rsidRPr="00700513">
        <w:rPr>
          <w:rFonts w:ascii="Trebuchet MS" w:eastAsia="Times New Roman" w:hAnsi="Trebuchet MS" w:cs="Times New Roman"/>
          <w:color w:val="000000"/>
          <w:sz w:val="21"/>
          <w:szCs w:val="21"/>
          <w:lang w:eastAsia="en-IN"/>
        </w:rPr>
        <w:t>This issues</w:t>
      </w:r>
      <w:proofErr w:type="gramEnd"/>
      <w:r w:rsidRPr="00700513">
        <w:rPr>
          <w:rFonts w:ascii="Trebuchet MS" w:eastAsia="Times New Roman" w:hAnsi="Trebuchet MS" w:cs="Times New Roman"/>
          <w:color w:val="000000"/>
          <w:sz w:val="21"/>
          <w:szCs w:val="21"/>
          <w:lang w:eastAsia="en-IN"/>
        </w:rPr>
        <w:t xml:space="preserve"> with concurrence of the Integrated Finance Division of this Ministry vide their Diary No. C-1603 dated 26th December, 2012.</w:t>
      </w:r>
    </w:p>
    <w:p w:rsidR="00700513" w:rsidRPr="00700513" w:rsidRDefault="00700513" w:rsidP="00700513">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proofErr w:type="gramStart"/>
      <w:r w:rsidRPr="00700513">
        <w:rPr>
          <w:rFonts w:ascii="Trebuchet MS" w:eastAsia="Times New Roman" w:hAnsi="Trebuchet MS" w:cs="Times New Roman"/>
          <w:color w:val="000000"/>
          <w:sz w:val="21"/>
          <w:szCs w:val="21"/>
          <w:lang w:eastAsia="en-IN"/>
        </w:rPr>
        <w:t>sd</w:t>
      </w:r>
      <w:proofErr w:type="spellEnd"/>
      <w:proofErr w:type="gramEnd"/>
      <w:r w:rsidRPr="00700513">
        <w:rPr>
          <w:rFonts w:ascii="Trebuchet MS" w:eastAsia="Times New Roman" w:hAnsi="Trebuchet MS" w:cs="Times New Roman"/>
          <w:color w:val="000000"/>
          <w:sz w:val="21"/>
          <w:szCs w:val="21"/>
          <w:lang w:eastAsia="en-IN"/>
        </w:rPr>
        <w:t>/-</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[V.P. Singh]</w:t>
      </w:r>
      <w:r w:rsidRPr="00700513">
        <w:rPr>
          <w:rFonts w:ascii="Trebuchet MS" w:eastAsia="Times New Roman" w:hAnsi="Trebuchet MS" w:cs="Times New Roman"/>
          <w:color w:val="000000"/>
          <w:sz w:val="21"/>
          <w:lang w:eastAsia="en-IN"/>
        </w:rPr>
        <w:t> </w:t>
      </w:r>
      <w:r w:rsidRPr="00700513">
        <w:rPr>
          <w:rFonts w:ascii="Trebuchet MS" w:eastAsia="Times New Roman" w:hAnsi="Trebuchet MS" w:cs="Times New Roman"/>
          <w:color w:val="000000"/>
          <w:sz w:val="21"/>
          <w:szCs w:val="21"/>
          <w:lang w:eastAsia="en-IN"/>
        </w:rPr>
        <w:br/>
        <w:t>Deputy Secretary to the Government of India</w:t>
      </w:r>
    </w:p>
    <w:p w:rsidR="0029776B" w:rsidRDefault="00700513"/>
    <w:sectPr w:rsidR="0029776B" w:rsidSect="00163B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513"/>
    <w:rsid w:val="00163B34"/>
    <w:rsid w:val="00700513"/>
    <w:rsid w:val="00793D97"/>
    <w:rsid w:val="00CD7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0513"/>
    <w:rPr>
      <w:b/>
      <w:bCs/>
    </w:rPr>
  </w:style>
  <w:style w:type="character" w:customStyle="1" w:styleId="apple-converted-space">
    <w:name w:val="apple-converted-space"/>
    <w:basedOn w:val="DefaultParagraphFont"/>
    <w:rsid w:val="00700513"/>
  </w:style>
</w:styles>
</file>

<file path=word/webSettings.xml><?xml version="1.0" encoding="utf-8"?>
<w:webSettings xmlns:r="http://schemas.openxmlformats.org/officeDocument/2006/relationships" xmlns:w="http://schemas.openxmlformats.org/wordprocessingml/2006/main">
  <w:divs>
    <w:div w:id="1180117956">
      <w:bodyDiv w:val="1"/>
      <w:marLeft w:val="0"/>
      <w:marRight w:val="0"/>
      <w:marTop w:val="0"/>
      <w:marBottom w:val="0"/>
      <w:divBdr>
        <w:top w:val="none" w:sz="0" w:space="0" w:color="auto"/>
        <w:left w:val="none" w:sz="0" w:space="0" w:color="auto"/>
        <w:bottom w:val="none" w:sz="0" w:space="0" w:color="auto"/>
        <w:right w:val="none" w:sz="0" w:space="0" w:color="auto"/>
      </w:divBdr>
      <w:divsChild>
        <w:div w:id="1519465282">
          <w:marLeft w:val="0"/>
          <w:marRight w:val="0"/>
          <w:marTop w:val="0"/>
          <w:marBottom w:val="0"/>
          <w:divBdr>
            <w:top w:val="none" w:sz="0" w:space="0" w:color="auto"/>
            <w:left w:val="none" w:sz="0" w:space="0" w:color="auto"/>
            <w:bottom w:val="none" w:sz="0" w:space="0" w:color="auto"/>
            <w:right w:val="none" w:sz="0" w:space="0" w:color="auto"/>
          </w:divBdr>
        </w:div>
        <w:div w:id="1872765405">
          <w:marLeft w:val="0"/>
          <w:marRight w:val="0"/>
          <w:marTop w:val="0"/>
          <w:marBottom w:val="0"/>
          <w:divBdr>
            <w:top w:val="none" w:sz="0" w:space="0" w:color="auto"/>
            <w:left w:val="none" w:sz="0" w:space="0" w:color="auto"/>
            <w:bottom w:val="none" w:sz="0" w:space="0" w:color="auto"/>
            <w:right w:val="none" w:sz="0" w:space="0" w:color="auto"/>
          </w:divBdr>
        </w:div>
        <w:div w:id="976301503">
          <w:marLeft w:val="0"/>
          <w:marRight w:val="0"/>
          <w:marTop w:val="0"/>
          <w:marBottom w:val="0"/>
          <w:divBdr>
            <w:top w:val="none" w:sz="0" w:space="0" w:color="auto"/>
            <w:left w:val="none" w:sz="0" w:space="0" w:color="auto"/>
            <w:bottom w:val="none" w:sz="0" w:space="0" w:color="auto"/>
            <w:right w:val="none" w:sz="0" w:space="0" w:color="auto"/>
          </w:divBdr>
        </w:div>
        <w:div w:id="464853491">
          <w:marLeft w:val="0"/>
          <w:marRight w:val="0"/>
          <w:marTop w:val="0"/>
          <w:marBottom w:val="0"/>
          <w:divBdr>
            <w:top w:val="none" w:sz="0" w:space="0" w:color="auto"/>
            <w:left w:val="none" w:sz="0" w:space="0" w:color="auto"/>
            <w:bottom w:val="none" w:sz="0" w:space="0" w:color="auto"/>
            <w:right w:val="none" w:sz="0" w:space="0" w:color="auto"/>
          </w:divBdr>
        </w:div>
        <w:div w:id="251477955">
          <w:marLeft w:val="0"/>
          <w:marRight w:val="0"/>
          <w:marTop w:val="0"/>
          <w:marBottom w:val="0"/>
          <w:divBdr>
            <w:top w:val="none" w:sz="0" w:space="0" w:color="auto"/>
            <w:left w:val="none" w:sz="0" w:space="0" w:color="auto"/>
            <w:bottom w:val="none" w:sz="0" w:space="0" w:color="auto"/>
            <w:right w:val="none" w:sz="0" w:space="0" w:color="auto"/>
          </w:divBdr>
        </w:div>
        <w:div w:id="934751407">
          <w:marLeft w:val="0"/>
          <w:marRight w:val="0"/>
          <w:marTop w:val="0"/>
          <w:marBottom w:val="0"/>
          <w:divBdr>
            <w:top w:val="none" w:sz="0" w:space="0" w:color="auto"/>
            <w:left w:val="none" w:sz="0" w:space="0" w:color="auto"/>
            <w:bottom w:val="none" w:sz="0" w:space="0" w:color="auto"/>
            <w:right w:val="none" w:sz="0" w:space="0" w:color="auto"/>
          </w:divBdr>
        </w:div>
        <w:div w:id="1211957283">
          <w:marLeft w:val="0"/>
          <w:marRight w:val="0"/>
          <w:marTop w:val="0"/>
          <w:marBottom w:val="0"/>
          <w:divBdr>
            <w:top w:val="none" w:sz="0" w:space="0" w:color="auto"/>
            <w:left w:val="none" w:sz="0" w:space="0" w:color="auto"/>
            <w:bottom w:val="none" w:sz="0" w:space="0" w:color="auto"/>
            <w:right w:val="none" w:sz="0" w:space="0" w:color="auto"/>
          </w:divBdr>
        </w:div>
        <w:div w:id="993338129">
          <w:marLeft w:val="0"/>
          <w:marRight w:val="0"/>
          <w:marTop w:val="0"/>
          <w:marBottom w:val="0"/>
          <w:divBdr>
            <w:top w:val="none" w:sz="0" w:space="0" w:color="auto"/>
            <w:left w:val="none" w:sz="0" w:space="0" w:color="auto"/>
            <w:bottom w:val="none" w:sz="0" w:space="0" w:color="auto"/>
            <w:right w:val="none" w:sz="0" w:space="0" w:color="auto"/>
          </w:divBdr>
        </w:div>
        <w:div w:id="1603564832">
          <w:marLeft w:val="0"/>
          <w:marRight w:val="0"/>
          <w:marTop w:val="0"/>
          <w:marBottom w:val="0"/>
          <w:divBdr>
            <w:top w:val="none" w:sz="0" w:space="0" w:color="auto"/>
            <w:left w:val="none" w:sz="0" w:space="0" w:color="auto"/>
            <w:bottom w:val="none" w:sz="0" w:space="0" w:color="auto"/>
            <w:right w:val="none" w:sz="0" w:space="0" w:color="auto"/>
          </w:divBdr>
        </w:div>
        <w:div w:id="1777942488">
          <w:marLeft w:val="0"/>
          <w:marRight w:val="0"/>
          <w:marTop w:val="0"/>
          <w:marBottom w:val="0"/>
          <w:divBdr>
            <w:top w:val="none" w:sz="0" w:space="0" w:color="auto"/>
            <w:left w:val="none" w:sz="0" w:space="0" w:color="auto"/>
            <w:bottom w:val="none" w:sz="0" w:space="0" w:color="auto"/>
            <w:right w:val="none" w:sz="0" w:space="0" w:color="auto"/>
          </w:divBdr>
        </w:div>
        <w:div w:id="1454517401">
          <w:marLeft w:val="0"/>
          <w:marRight w:val="0"/>
          <w:marTop w:val="0"/>
          <w:marBottom w:val="0"/>
          <w:divBdr>
            <w:top w:val="none" w:sz="0" w:space="0" w:color="auto"/>
            <w:left w:val="none" w:sz="0" w:space="0" w:color="auto"/>
            <w:bottom w:val="none" w:sz="0" w:space="0" w:color="auto"/>
            <w:right w:val="none" w:sz="0" w:space="0" w:color="auto"/>
          </w:divBdr>
        </w:div>
        <w:div w:id="2030519790">
          <w:marLeft w:val="0"/>
          <w:marRight w:val="0"/>
          <w:marTop w:val="0"/>
          <w:marBottom w:val="0"/>
          <w:divBdr>
            <w:top w:val="none" w:sz="0" w:space="0" w:color="auto"/>
            <w:left w:val="none" w:sz="0" w:space="0" w:color="auto"/>
            <w:bottom w:val="none" w:sz="0" w:space="0" w:color="auto"/>
            <w:right w:val="none" w:sz="0" w:space="0" w:color="auto"/>
          </w:divBdr>
        </w:div>
        <w:div w:id="1329283239">
          <w:marLeft w:val="0"/>
          <w:marRight w:val="0"/>
          <w:marTop w:val="0"/>
          <w:marBottom w:val="0"/>
          <w:divBdr>
            <w:top w:val="none" w:sz="0" w:space="0" w:color="auto"/>
            <w:left w:val="none" w:sz="0" w:space="0" w:color="auto"/>
            <w:bottom w:val="none" w:sz="0" w:space="0" w:color="auto"/>
            <w:right w:val="none" w:sz="0" w:space="0" w:color="auto"/>
          </w:divBdr>
        </w:div>
        <w:div w:id="1894148416">
          <w:marLeft w:val="0"/>
          <w:marRight w:val="0"/>
          <w:marTop w:val="0"/>
          <w:marBottom w:val="0"/>
          <w:divBdr>
            <w:top w:val="none" w:sz="0" w:space="0" w:color="auto"/>
            <w:left w:val="none" w:sz="0" w:space="0" w:color="auto"/>
            <w:bottom w:val="none" w:sz="0" w:space="0" w:color="auto"/>
            <w:right w:val="none" w:sz="0" w:space="0" w:color="auto"/>
          </w:divBdr>
        </w:div>
        <w:div w:id="1565291923">
          <w:marLeft w:val="0"/>
          <w:marRight w:val="0"/>
          <w:marTop w:val="0"/>
          <w:marBottom w:val="0"/>
          <w:divBdr>
            <w:top w:val="none" w:sz="0" w:space="0" w:color="auto"/>
            <w:left w:val="none" w:sz="0" w:space="0" w:color="auto"/>
            <w:bottom w:val="none" w:sz="0" w:space="0" w:color="auto"/>
            <w:right w:val="none" w:sz="0" w:space="0" w:color="auto"/>
          </w:divBdr>
        </w:div>
        <w:div w:id="687678850">
          <w:marLeft w:val="0"/>
          <w:marRight w:val="0"/>
          <w:marTop w:val="0"/>
          <w:marBottom w:val="0"/>
          <w:divBdr>
            <w:top w:val="none" w:sz="0" w:space="0" w:color="auto"/>
            <w:left w:val="none" w:sz="0" w:space="0" w:color="auto"/>
            <w:bottom w:val="none" w:sz="0" w:space="0" w:color="auto"/>
            <w:right w:val="none" w:sz="0" w:space="0" w:color="auto"/>
          </w:divBdr>
        </w:div>
        <w:div w:id="1962805773">
          <w:marLeft w:val="0"/>
          <w:marRight w:val="0"/>
          <w:marTop w:val="0"/>
          <w:marBottom w:val="0"/>
          <w:divBdr>
            <w:top w:val="none" w:sz="0" w:space="0" w:color="auto"/>
            <w:left w:val="none" w:sz="0" w:space="0" w:color="auto"/>
            <w:bottom w:val="none" w:sz="0" w:space="0" w:color="auto"/>
            <w:right w:val="none" w:sz="0" w:space="0" w:color="auto"/>
          </w:divBdr>
        </w:div>
        <w:div w:id="305858841">
          <w:marLeft w:val="0"/>
          <w:marRight w:val="0"/>
          <w:marTop w:val="0"/>
          <w:marBottom w:val="0"/>
          <w:divBdr>
            <w:top w:val="none" w:sz="0" w:space="0" w:color="auto"/>
            <w:left w:val="none" w:sz="0" w:space="0" w:color="auto"/>
            <w:bottom w:val="none" w:sz="0" w:space="0" w:color="auto"/>
            <w:right w:val="none" w:sz="0" w:space="0" w:color="auto"/>
          </w:divBdr>
        </w:div>
        <w:div w:id="38364195">
          <w:marLeft w:val="0"/>
          <w:marRight w:val="0"/>
          <w:marTop w:val="0"/>
          <w:marBottom w:val="0"/>
          <w:divBdr>
            <w:top w:val="none" w:sz="0" w:space="0" w:color="auto"/>
            <w:left w:val="none" w:sz="0" w:space="0" w:color="auto"/>
            <w:bottom w:val="none" w:sz="0" w:space="0" w:color="auto"/>
            <w:right w:val="none" w:sz="0" w:space="0" w:color="auto"/>
          </w:divBdr>
        </w:div>
        <w:div w:id="744031711">
          <w:marLeft w:val="0"/>
          <w:marRight w:val="0"/>
          <w:marTop w:val="0"/>
          <w:marBottom w:val="0"/>
          <w:divBdr>
            <w:top w:val="none" w:sz="0" w:space="0" w:color="auto"/>
            <w:left w:val="none" w:sz="0" w:space="0" w:color="auto"/>
            <w:bottom w:val="none" w:sz="0" w:space="0" w:color="auto"/>
            <w:right w:val="none" w:sz="0" w:space="0" w:color="auto"/>
          </w:divBdr>
        </w:div>
        <w:div w:id="905457624">
          <w:marLeft w:val="0"/>
          <w:marRight w:val="0"/>
          <w:marTop w:val="0"/>
          <w:marBottom w:val="0"/>
          <w:divBdr>
            <w:top w:val="none" w:sz="0" w:space="0" w:color="auto"/>
            <w:left w:val="none" w:sz="0" w:space="0" w:color="auto"/>
            <w:bottom w:val="none" w:sz="0" w:space="0" w:color="auto"/>
            <w:right w:val="none" w:sz="0" w:space="0" w:color="auto"/>
          </w:divBdr>
        </w:div>
        <w:div w:id="367141249">
          <w:marLeft w:val="0"/>
          <w:marRight w:val="0"/>
          <w:marTop w:val="0"/>
          <w:marBottom w:val="0"/>
          <w:divBdr>
            <w:top w:val="none" w:sz="0" w:space="0" w:color="auto"/>
            <w:left w:val="none" w:sz="0" w:space="0" w:color="auto"/>
            <w:bottom w:val="none" w:sz="0" w:space="0" w:color="auto"/>
            <w:right w:val="none" w:sz="0" w:space="0" w:color="auto"/>
          </w:divBdr>
        </w:div>
        <w:div w:id="1631788641">
          <w:marLeft w:val="0"/>
          <w:marRight w:val="0"/>
          <w:marTop w:val="0"/>
          <w:marBottom w:val="0"/>
          <w:divBdr>
            <w:top w:val="none" w:sz="0" w:space="0" w:color="auto"/>
            <w:left w:val="none" w:sz="0" w:space="0" w:color="auto"/>
            <w:bottom w:val="none" w:sz="0" w:space="0" w:color="auto"/>
            <w:right w:val="none" w:sz="0" w:space="0" w:color="auto"/>
          </w:divBdr>
        </w:div>
        <w:div w:id="129514864">
          <w:marLeft w:val="0"/>
          <w:marRight w:val="0"/>
          <w:marTop w:val="0"/>
          <w:marBottom w:val="0"/>
          <w:divBdr>
            <w:top w:val="none" w:sz="0" w:space="0" w:color="auto"/>
            <w:left w:val="none" w:sz="0" w:space="0" w:color="auto"/>
            <w:bottom w:val="none" w:sz="0" w:space="0" w:color="auto"/>
            <w:right w:val="none" w:sz="0" w:space="0" w:color="auto"/>
          </w:divBdr>
        </w:div>
        <w:div w:id="367074999">
          <w:marLeft w:val="0"/>
          <w:marRight w:val="0"/>
          <w:marTop w:val="0"/>
          <w:marBottom w:val="0"/>
          <w:divBdr>
            <w:top w:val="none" w:sz="0" w:space="0" w:color="auto"/>
            <w:left w:val="none" w:sz="0" w:space="0" w:color="auto"/>
            <w:bottom w:val="none" w:sz="0" w:space="0" w:color="auto"/>
            <w:right w:val="none" w:sz="0" w:space="0" w:color="auto"/>
          </w:divBdr>
        </w:div>
        <w:div w:id="1662270541">
          <w:marLeft w:val="0"/>
          <w:marRight w:val="0"/>
          <w:marTop w:val="0"/>
          <w:marBottom w:val="0"/>
          <w:divBdr>
            <w:top w:val="none" w:sz="0" w:space="0" w:color="auto"/>
            <w:left w:val="none" w:sz="0" w:space="0" w:color="auto"/>
            <w:bottom w:val="none" w:sz="0" w:space="0" w:color="auto"/>
            <w:right w:val="none" w:sz="0" w:space="0" w:color="auto"/>
          </w:divBdr>
        </w:div>
        <w:div w:id="1939558871">
          <w:marLeft w:val="0"/>
          <w:marRight w:val="0"/>
          <w:marTop w:val="0"/>
          <w:marBottom w:val="0"/>
          <w:divBdr>
            <w:top w:val="none" w:sz="0" w:space="0" w:color="auto"/>
            <w:left w:val="none" w:sz="0" w:space="0" w:color="auto"/>
            <w:bottom w:val="none" w:sz="0" w:space="0" w:color="auto"/>
            <w:right w:val="none" w:sz="0" w:space="0" w:color="auto"/>
          </w:divBdr>
        </w:div>
        <w:div w:id="882522764">
          <w:marLeft w:val="0"/>
          <w:marRight w:val="0"/>
          <w:marTop w:val="0"/>
          <w:marBottom w:val="0"/>
          <w:divBdr>
            <w:top w:val="none" w:sz="0" w:space="0" w:color="auto"/>
            <w:left w:val="none" w:sz="0" w:space="0" w:color="auto"/>
            <w:bottom w:val="none" w:sz="0" w:space="0" w:color="auto"/>
            <w:right w:val="none" w:sz="0" w:space="0" w:color="auto"/>
          </w:divBdr>
        </w:div>
        <w:div w:id="880363064">
          <w:marLeft w:val="0"/>
          <w:marRight w:val="0"/>
          <w:marTop w:val="0"/>
          <w:marBottom w:val="0"/>
          <w:divBdr>
            <w:top w:val="none" w:sz="0" w:space="0" w:color="auto"/>
            <w:left w:val="none" w:sz="0" w:space="0" w:color="auto"/>
            <w:bottom w:val="none" w:sz="0" w:space="0" w:color="auto"/>
            <w:right w:val="none" w:sz="0" w:space="0" w:color="auto"/>
          </w:divBdr>
        </w:div>
        <w:div w:id="1763065815">
          <w:marLeft w:val="0"/>
          <w:marRight w:val="0"/>
          <w:marTop w:val="0"/>
          <w:marBottom w:val="0"/>
          <w:divBdr>
            <w:top w:val="none" w:sz="0" w:space="0" w:color="auto"/>
            <w:left w:val="none" w:sz="0" w:space="0" w:color="auto"/>
            <w:bottom w:val="none" w:sz="0" w:space="0" w:color="auto"/>
            <w:right w:val="none" w:sz="0" w:space="0" w:color="auto"/>
          </w:divBdr>
        </w:div>
        <w:div w:id="622422555">
          <w:marLeft w:val="0"/>
          <w:marRight w:val="0"/>
          <w:marTop w:val="0"/>
          <w:marBottom w:val="0"/>
          <w:divBdr>
            <w:top w:val="none" w:sz="0" w:space="0" w:color="auto"/>
            <w:left w:val="none" w:sz="0" w:space="0" w:color="auto"/>
            <w:bottom w:val="none" w:sz="0" w:space="0" w:color="auto"/>
            <w:right w:val="none" w:sz="0" w:space="0" w:color="auto"/>
          </w:divBdr>
        </w:div>
        <w:div w:id="615261656">
          <w:marLeft w:val="0"/>
          <w:marRight w:val="0"/>
          <w:marTop w:val="0"/>
          <w:marBottom w:val="0"/>
          <w:divBdr>
            <w:top w:val="none" w:sz="0" w:space="0" w:color="auto"/>
            <w:left w:val="none" w:sz="0" w:space="0" w:color="auto"/>
            <w:bottom w:val="none" w:sz="0" w:space="0" w:color="auto"/>
            <w:right w:val="none" w:sz="0" w:space="0" w:color="auto"/>
          </w:divBdr>
        </w:div>
        <w:div w:id="1598099419">
          <w:marLeft w:val="0"/>
          <w:marRight w:val="0"/>
          <w:marTop w:val="0"/>
          <w:marBottom w:val="0"/>
          <w:divBdr>
            <w:top w:val="none" w:sz="0" w:space="0" w:color="auto"/>
            <w:left w:val="none" w:sz="0" w:space="0" w:color="auto"/>
            <w:bottom w:val="none" w:sz="0" w:space="0" w:color="auto"/>
            <w:right w:val="none" w:sz="0" w:space="0" w:color="auto"/>
          </w:divBdr>
        </w:div>
        <w:div w:id="1465810794">
          <w:marLeft w:val="0"/>
          <w:marRight w:val="0"/>
          <w:marTop w:val="0"/>
          <w:marBottom w:val="0"/>
          <w:divBdr>
            <w:top w:val="none" w:sz="0" w:space="0" w:color="auto"/>
            <w:left w:val="none" w:sz="0" w:space="0" w:color="auto"/>
            <w:bottom w:val="none" w:sz="0" w:space="0" w:color="auto"/>
            <w:right w:val="none" w:sz="0" w:space="0" w:color="auto"/>
          </w:divBdr>
        </w:div>
        <w:div w:id="970135552">
          <w:marLeft w:val="0"/>
          <w:marRight w:val="0"/>
          <w:marTop w:val="0"/>
          <w:marBottom w:val="0"/>
          <w:divBdr>
            <w:top w:val="none" w:sz="0" w:space="0" w:color="auto"/>
            <w:left w:val="none" w:sz="0" w:space="0" w:color="auto"/>
            <w:bottom w:val="none" w:sz="0" w:space="0" w:color="auto"/>
            <w:right w:val="none" w:sz="0" w:space="0" w:color="auto"/>
          </w:divBdr>
        </w:div>
        <w:div w:id="921917749">
          <w:marLeft w:val="0"/>
          <w:marRight w:val="0"/>
          <w:marTop w:val="0"/>
          <w:marBottom w:val="0"/>
          <w:divBdr>
            <w:top w:val="none" w:sz="0" w:space="0" w:color="auto"/>
            <w:left w:val="none" w:sz="0" w:space="0" w:color="auto"/>
            <w:bottom w:val="none" w:sz="0" w:space="0" w:color="auto"/>
            <w:right w:val="none" w:sz="0" w:space="0" w:color="auto"/>
          </w:divBdr>
        </w:div>
        <w:div w:id="1873155057">
          <w:marLeft w:val="0"/>
          <w:marRight w:val="0"/>
          <w:marTop w:val="0"/>
          <w:marBottom w:val="0"/>
          <w:divBdr>
            <w:top w:val="none" w:sz="0" w:space="0" w:color="auto"/>
            <w:left w:val="none" w:sz="0" w:space="0" w:color="auto"/>
            <w:bottom w:val="none" w:sz="0" w:space="0" w:color="auto"/>
            <w:right w:val="none" w:sz="0" w:space="0" w:color="auto"/>
          </w:divBdr>
        </w:div>
        <w:div w:id="37080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2013-01-18T09:01:00Z</dcterms:created>
  <dcterms:modified xsi:type="dcterms:W3CDTF">2013-01-18T09:04:00Z</dcterms:modified>
</cp:coreProperties>
</file>